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5C" w:rsidRDefault="00C3585C" w:rsidP="00C3585C">
      <w:pPr>
        <w:pStyle w:val="LGAItemNoHeading"/>
        <w:spacing w:before="720"/>
        <w:jc w:val="center"/>
        <w:rPr>
          <w:rFonts w:ascii="Arial" w:hAnsi="Arial" w:cs="Arial"/>
          <w:sz w:val="28"/>
          <w:szCs w:val="28"/>
        </w:rPr>
      </w:pPr>
    </w:p>
    <w:p w:rsidR="00C3585C" w:rsidRDefault="00C3585C" w:rsidP="00C3585C">
      <w:pPr>
        <w:pStyle w:val="LGAItemNoHeading"/>
        <w:spacing w:before="720"/>
        <w:jc w:val="center"/>
        <w:rPr>
          <w:rFonts w:ascii="Arial" w:hAnsi="Arial" w:cs="Arial"/>
          <w:sz w:val="28"/>
          <w:szCs w:val="28"/>
        </w:rPr>
      </w:pPr>
    </w:p>
    <w:p w:rsidR="00C3585C" w:rsidRDefault="00C3585C" w:rsidP="00C3585C">
      <w:pPr>
        <w:pStyle w:val="LGAItemNoHeading"/>
        <w:spacing w:before="720"/>
        <w:jc w:val="center"/>
        <w:rPr>
          <w:rFonts w:ascii="Arial" w:hAnsi="Arial" w:cs="Arial"/>
          <w:sz w:val="28"/>
          <w:szCs w:val="28"/>
        </w:rPr>
      </w:pPr>
    </w:p>
    <w:p w:rsidR="00C3585C" w:rsidRDefault="00C3585C" w:rsidP="00C3585C">
      <w:pPr>
        <w:pStyle w:val="LGAItemNoHeading"/>
        <w:spacing w:before="720"/>
        <w:jc w:val="center"/>
        <w:rPr>
          <w:rFonts w:ascii="Arial" w:hAnsi="Arial" w:cs="Arial"/>
          <w:sz w:val="36"/>
          <w:szCs w:val="36"/>
        </w:rPr>
      </w:pPr>
    </w:p>
    <w:p w:rsidR="00C3585C" w:rsidRDefault="00361355" w:rsidP="00C3585C">
      <w:pPr>
        <w:pStyle w:val="LGAItemNoHeading"/>
        <w:spacing w:before="720"/>
        <w:jc w:val="center"/>
        <w:rPr>
          <w:rFonts w:ascii="Arial" w:hAnsi="Arial" w:cs="Arial"/>
          <w:sz w:val="36"/>
          <w:szCs w:val="36"/>
        </w:rPr>
      </w:pPr>
      <w:r>
        <w:rPr>
          <w:rFonts w:ascii="Arial" w:hAnsi="Arial" w:cs="Arial"/>
          <w:sz w:val="36"/>
          <w:szCs w:val="36"/>
        </w:rPr>
        <w:t>2014/15</w:t>
      </w:r>
      <w:r w:rsidR="00C3585C">
        <w:rPr>
          <w:rFonts w:ascii="Arial" w:hAnsi="Arial" w:cs="Arial"/>
          <w:sz w:val="36"/>
          <w:szCs w:val="36"/>
        </w:rPr>
        <w:t xml:space="preserve"> Performance Report</w:t>
      </w:r>
    </w:p>
    <w:p w:rsidR="00C3585C" w:rsidRDefault="00D61F68" w:rsidP="00C3585C">
      <w:pPr>
        <w:pStyle w:val="LGAItemNoHeading"/>
        <w:spacing w:before="720"/>
        <w:jc w:val="center"/>
        <w:rPr>
          <w:rFonts w:ascii="Arial" w:hAnsi="Arial" w:cs="Arial"/>
          <w:sz w:val="36"/>
          <w:szCs w:val="36"/>
        </w:rPr>
      </w:pPr>
      <w:r>
        <w:rPr>
          <w:rFonts w:ascii="Arial" w:hAnsi="Arial" w:cs="Arial"/>
          <w:sz w:val="36"/>
          <w:szCs w:val="36"/>
        </w:rPr>
        <w:t>Nine</w:t>
      </w:r>
      <w:r w:rsidR="00245A31">
        <w:rPr>
          <w:rFonts w:ascii="Arial" w:hAnsi="Arial" w:cs="Arial"/>
          <w:sz w:val="36"/>
          <w:szCs w:val="36"/>
        </w:rPr>
        <w:t xml:space="preserve"> months</w:t>
      </w:r>
      <w:r w:rsidR="00DB12EF">
        <w:rPr>
          <w:rFonts w:ascii="Arial" w:hAnsi="Arial" w:cs="Arial"/>
          <w:sz w:val="36"/>
          <w:szCs w:val="36"/>
        </w:rPr>
        <w:t xml:space="preserve">: </w:t>
      </w:r>
      <w:r w:rsidR="00245A31">
        <w:rPr>
          <w:rFonts w:ascii="Arial" w:hAnsi="Arial" w:cs="Arial"/>
          <w:sz w:val="36"/>
          <w:szCs w:val="36"/>
        </w:rPr>
        <w:t>April</w:t>
      </w:r>
      <w:r w:rsidR="001E1E76">
        <w:rPr>
          <w:rFonts w:ascii="Arial" w:hAnsi="Arial" w:cs="Arial"/>
          <w:sz w:val="36"/>
          <w:szCs w:val="36"/>
        </w:rPr>
        <w:t xml:space="preserve"> </w:t>
      </w:r>
      <w:r w:rsidR="000F77D2">
        <w:rPr>
          <w:rFonts w:ascii="Arial" w:hAnsi="Arial" w:cs="Arial"/>
          <w:sz w:val="36"/>
          <w:szCs w:val="36"/>
        </w:rPr>
        <w:t xml:space="preserve">– </w:t>
      </w:r>
      <w:r>
        <w:rPr>
          <w:rFonts w:ascii="Arial" w:hAnsi="Arial" w:cs="Arial"/>
          <w:sz w:val="36"/>
          <w:szCs w:val="36"/>
        </w:rPr>
        <w:t>Dec</w:t>
      </w:r>
      <w:r w:rsidR="000F77D2">
        <w:rPr>
          <w:rFonts w:ascii="Arial" w:hAnsi="Arial" w:cs="Arial"/>
          <w:sz w:val="36"/>
          <w:szCs w:val="36"/>
        </w:rPr>
        <w:t xml:space="preserve"> </w:t>
      </w:r>
      <w:r w:rsidR="001E1E76">
        <w:rPr>
          <w:rFonts w:ascii="Arial" w:hAnsi="Arial" w:cs="Arial"/>
          <w:sz w:val="36"/>
          <w:szCs w:val="36"/>
        </w:rPr>
        <w:t>2014</w:t>
      </w:r>
    </w:p>
    <w:p w:rsidR="00C3585C" w:rsidRDefault="00C3585C" w:rsidP="00BA5082">
      <w:pPr>
        <w:spacing w:before="120" w:after="240" w:line="280" w:lineRule="exact"/>
        <w:rPr>
          <w:rFonts w:ascii="Arial" w:hAnsi="Arial" w:cs="Arial"/>
          <w:b/>
          <w:sz w:val="28"/>
          <w:szCs w:val="28"/>
        </w:rPr>
      </w:pPr>
    </w:p>
    <w:p w:rsidR="008852FC" w:rsidRPr="00DB12EF" w:rsidRDefault="00C3585C" w:rsidP="00DB12EF">
      <w:pPr>
        <w:spacing w:before="120" w:after="240" w:line="280" w:lineRule="exact"/>
        <w:rPr>
          <w:rFonts w:ascii="Arial" w:hAnsi="Arial" w:cs="Arial"/>
          <w:b/>
          <w:sz w:val="28"/>
          <w:szCs w:val="28"/>
        </w:rPr>
      </w:pPr>
      <w:r>
        <w:rPr>
          <w:rFonts w:ascii="Arial" w:hAnsi="Arial" w:cs="Arial"/>
          <w:b/>
          <w:sz w:val="28"/>
          <w:szCs w:val="28"/>
        </w:rPr>
        <w:br w:type="page"/>
      </w:r>
      <w:r w:rsidR="00DB12EF">
        <w:rPr>
          <w:rFonts w:ascii="Arial" w:hAnsi="Arial" w:cs="Arial"/>
          <w:b/>
          <w:sz w:val="28"/>
          <w:szCs w:val="28"/>
        </w:rPr>
        <w:lastRenderedPageBreak/>
        <w:t>Introduction</w:t>
      </w:r>
    </w:p>
    <w:p w:rsidR="00CB2DEB" w:rsidRPr="00B756D3" w:rsidRDefault="00DB12EF" w:rsidP="00CB2DEB">
      <w:pPr>
        <w:pStyle w:val="MainText"/>
        <w:spacing w:line="240" w:lineRule="auto"/>
        <w:rPr>
          <w:rFonts w:ascii="Arial" w:hAnsi="Arial" w:cs="Arial"/>
          <w:b/>
          <w:szCs w:val="22"/>
        </w:rPr>
      </w:pPr>
      <w:r w:rsidRPr="00B756D3">
        <w:rPr>
          <w:rFonts w:ascii="Arial" w:hAnsi="Arial" w:cs="Arial"/>
          <w:b/>
          <w:szCs w:val="22"/>
        </w:rPr>
        <w:t>Background</w:t>
      </w:r>
    </w:p>
    <w:p w:rsidR="00B756D3" w:rsidRPr="00B756D3" w:rsidRDefault="00B756D3" w:rsidP="00B756D3">
      <w:pPr>
        <w:rPr>
          <w:rFonts w:ascii="Arial" w:hAnsi="Arial" w:cs="Arial"/>
          <w:sz w:val="22"/>
          <w:szCs w:val="22"/>
        </w:rPr>
      </w:pPr>
    </w:p>
    <w:p w:rsidR="00B756D3" w:rsidRPr="00B756D3" w:rsidRDefault="00CB2DEB" w:rsidP="00B756D3">
      <w:pPr>
        <w:numPr>
          <w:ilvl w:val="0"/>
          <w:numId w:val="22"/>
        </w:numPr>
        <w:rPr>
          <w:rFonts w:ascii="Arial" w:hAnsi="Arial" w:cs="Arial"/>
          <w:sz w:val="22"/>
          <w:szCs w:val="22"/>
        </w:rPr>
      </w:pPr>
      <w:r w:rsidRPr="00B756D3">
        <w:rPr>
          <w:rFonts w:ascii="Arial" w:hAnsi="Arial" w:cs="Arial"/>
          <w:sz w:val="22"/>
          <w:szCs w:val="22"/>
        </w:rPr>
        <w:t>T</w:t>
      </w:r>
      <w:r w:rsidR="00DB12EF" w:rsidRPr="00B756D3">
        <w:rPr>
          <w:rFonts w:ascii="Arial" w:hAnsi="Arial" w:cs="Arial"/>
          <w:sz w:val="22"/>
          <w:szCs w:val="22"/>
        </w:rPr>
        <w:t xml:space="preserve">he annual business plan for </w:t>
      </w:r>
      <w:r w:rsidR="00361355">
        <w:rPr>
          <w:rFonts w:ascii="Arial" w:hAnsi="Arial" w:cs="Arial"/>
          <w:sz w:val="22"/>
          <w:szCs w:val="22"/>
        </w:rPr>
        <w:t>2014/15</w:t>
      </w:r>
      <w:r w:rsidRPr="00B756D3">
        <w:rPr>
          <w:rFonts w:ascii="Arial" w:hAnsi="Arial" w:cs="Arial"/>
          <w:sz w:val="22"/>
          <w:szCs w:val="22"/>
        </w:rPr>
        <w:t xml:space="preserve"> for the LGA was a</w:t>
      </w:r>
      <w:r w:rsidR="00DB12EF" w:rsidRPr="00B756D3">
        <w:rPr>
          <w:rFonts w:ascii="Arial" w:hAnsi="Arial" w:cs="Arial"/>
          <w:sz w:val="22"/>
          <w:szCs w:val="22"/>
        </w:rPr>
        <w:t xml:space="preserve">greed by </w:t>
      </w:r>
      <w:r w:rsidR="006B3745">
        <w:rPr>
          <w:rFonts w:ascii="Arial" w:hAnsi="Arial" w:cs="Arial"/>
          <w:sz w:val="22"/>
          <w:szCs w:val="22"/>
        </w:rPr>
        <w:t xml:space="preserve">the </w:t>
      </w:r>
      <w:r w:rsidR="00DB12EF" w:rsidRPr="00B756D3">
        <w:rPr>
          <w:rFonts w:ascii="Arial" w:hAnsi="Arial" w:cs="Arial"/>
          <w:sz w:val="22"/>
          <w:szCs w:val="22"/>
        </w:rPr>
        <w:t xml:space="preserve">Executive in </w:t>
      </w:r>
      <w:r w:rsidR="006B3745">
        <w:rPr>
          <w:rFonts w:ascii="Arial" w:hAnsi="Arial" w:cs="Arial"/>
          <w:sz w:val="22"/>
          <w:szCs w:val="22"/>
        </w:rPr>
        <w:t>March</w:t>
      </w:r>
      <w:r w:rsidR="006F6960">
        <w:rPr>
          <w:rFonts w:ascii="Arial" w:hAnsi="Arial" w:cs="Arial"/>
          <w:sz w:val="22"/>
          <w:szCs w:val="22"/>
        </w:rPr>
        <w:t xml:space="preserve"> 2014</w:t>
      </w:r>
      <w:r w:rsidRPr="00B756D3">
        <w:rPr>
          <w:rFonts w:ascii="Arial" w:hAnsi="Arial" w:cs="Arial"/>
          <w:sz w:val="22"/>
          <w:szCs w:val="22"/>
        </w:rPr>
        <w:t>. We undertook to review the impact of our work and our delivery against the priorities in the business plan through robust performance management including regular reports to memb</w:t>
      </w:r>
      <w:r w:rsidR="00B756D3" w:rsidRPr="00B756D3">
        <w:rPr>
          <w:rFonts w:ascii="Arial" w:hAnsi="Arial" w:cs="Arial"/>
          <w:sz w:val="22"/>
          <w:szCs w:val="22"/>
        </w:rPr>
        <w:t>ers on the LGA Leadership Board.</w:t>
      </w:r>
    </w:p>
    <w:p w:rsidR="00B756D3" w:rsidRPr="00B756D3" w:rsidRDefault="00B756D3" w:rsidP="00B756D3">
      <w:pPr>
        <w:ind w:left="680"/>
        <w:rPr>
          <w:rFonts w:ascii="Arial" w:hAnsi="Arial" w:cs="Arial"/>
          <w:sz w:val="22"/>
          <w:szCs w:val="22"/>
        </w:rPr>
      </w:pPr>
    </w:p>
    <w:p w:rsidR="00B756D3" w:rsidRPr="00B756D3" w:rsidRDefault="00CB2DEB" w:rsidP="00B756D3">
      <w:pPr>
        <w:numPr>
          <w:ilvl w:val="0"/>
          <w:numId w:val="22"/>
        </w:numPr>
        <w:rPr>
          <w:rFonts w:ascii="Arial" w:hAnsi="Arial" w:cs="Arial"/>
          <w:sz w:val="22"/>
          <w:szCs w:val="22"/>
        </w:rPr>
      </w:pPr>
      <w:r w:rsidRPr="00B756D3">
        <w:rPr>
          <w:rFonts w:ascii="Arial" w:hAnsi="Arial" w:cs="Arial"/>
          <w:sz w:val="22"/>
          <w:szCs w:val="22"/>
        </w:rPr>
        <w:t>The following performance framework has been put in place to monitor delivery against the business plan:</w:t>
      </w:r>
    </w:p>
    <w:p w:rsidR="00B756D3" w:rsidRPr="00B756D3" w:rsidRDefault="00B756D3" w:rsidP="00B756D3">
      <w:pPr>
        <w:pStyle w:val="ListParagraph"/>
        <w:ind w:left="0"/>
        <w:rPr>
          <w:rFonts w:ascii="Arial" w:hAnsi="Arial" w:cs="Arial"/>
          <w:sz w:val="22"/>
          <w:szCs w:val="22"/>
        </w:rPr>
      </w:pPr>
    </w:p>
    <w:p w:rsidR="00B756D3" w:rsidRDefault="00CB2DEB" w:rsidP="00B756D3">
      <w:pPr>
        <w:numPr>
          <w:ilvl w:val="1"/>
          <w:numId w:val="22"/>
        </w:numPr>
        <w:rPr>
          <w:rFonts w:ascii="Arial" w:hAnsi="Arial" w:cs="Arial"/>
          <w:sz w:val="22"/>
          <w:szCs w:val="22"/>
        </w:rPr>
      </w:pPr>
      <w:r w:rsidRPr="00B756D3">
        <w:rPr>
          <w:rFonts w:ascii="Arial" w:hAnsi="Arial" w:cs="Arial"/>
          <w:sz w:val="22"/>
          <w:szCs w:val="22"/>
        </w:rPr>
        <w:t>a progress report on achieving the outcomes in the business plan with information on the key milestones and deliverables for each area of work</w:t>
      </w:r>
    </w:p>
    <w:p w:rsidR="00B756D3" w:rsidRDefault="00B756D3" w:rsidP="00B756D3">
      <w:pPr>
        <w:rPr>
          <w:rFonts w:ascii="Arial" w:hAnsi="Arial" w:cs="Arial"/>
          <w:sz w:val="22"/>
          <w:szCs w:val="22"/>
        </w:rPr>
      </w:pPr>
    </w:p>
    <w:p w:rsidR="00B756D3" w:rsidRDefault="00CB2DEB" w:rsidP="00B756D3">
      <w:pPr>
        <w:numPr>
          <w:ilvl w:val="1"/>
          <w:numId w:val="22"/>
        </w:numPr>
        <w:rPr>
          <w:rFonts w:ascii="Arial" w:hAnsi="Arial" w:cs="Arial"/>
          <w:sz w:val="22"/>
          <w:szCs w:val="22"/>
        </w:rPr>
      </w:pPr>
      <w:r w:rsidRPr="00B756D3">
        <w:rPr>
          <w:rFonts w:ascii="Arial" w:hAnsi="Arial" w:cs="Arial"/>
          <w:sz w:val="22"/>
          <w:szCs w:val="22"/>
        </w:rPr>
        <w:t>management accounts summarising the overall financial performance of the LGA and its associated companies</w:t>
      </w:r>
    </w:p>
    <w:p w:rsidR="00B756D3" w:rsidRDefault="00B756D3" w:rsidP="00B756D3">
      <w:pPr>
        <w:pStyle w:val="ListParagraph"/>
        <w:ind w:left="0"/>
        <w:rPr>
          <w:rFonts w:ascii="Arial" w:hAnsi="Arial" w:cs="Arial"/>
          <w:sz w:val="22"/>
          <w:szCs w:val="22"/>
        </w:rPr>
      </w:pPr>
    </w:p>
    <w:p w:rsidR="0081033D" w:rsidRDefault="00CB2DEB" w:rsidP="00586E8C">
      <w:pPr>
        <w:numPr>
          <w:ilvl w:val="1"/>
          <w:numId w:val="22"/>
        </w:numPr>
        <w:rPr>
          <w:rFonts w:ascii="Arial" w:hAnsi="Arial" w:cs="Arial"/>
          <w:sz w:val="22"/>
          <w:szCs w:val="22"/>
        </w:rPr>
      </w:pPr>
      <w:r w:rsidRPr="00B756D3">
        <w:rPr>
          <w:rFonts w:ascii="Arial" w:hAnsi="Arial" w:cs="Arial"/>
          <w:sz w:val="22"/>
          <w:szCs w:val="22"/>
        </w:rPr>
        <w:t>a report on performance against the Corporate Health Indicators set out in the business plan, to enable us to review our own efficiency and effectiveness</w:t>
      </w:r>
    </w:p>
    <w:p w:rsidR="00652E5C" w:rsidRDefault="00652E5C" w:rsidP="00652E5C">
      <w:pPr>
        <w:pStyle w:val="ListParagraph"/>
        <w:rPr>
          <w:rFonts w:ascii="Arial" w:hAnsi="Arial" w:cs="Arial"/>
          <w:sz w:val="22"/>
          <w:szCs w:val="22"/>
        </w:rPr>
      </w:pPr>
    </w:p>
    <w:p w:rsidR="00652E5C" w:rsidRDefault="00652E5C" w:rsidP="00586E8C">
      <w:pPr>
        <w:numPr>
          <w:ilvl w:val="1"/>
          <w:numId w:val="22"/>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LGA’s strategic risk register, which is regularly reviewed and updated by the Strategic Management Team.</w:t>
      </w:r>
    </w:p>
    <w:p w:rsidR="00CB2DEB" w:rsidRPr="00B756D3" w:rsidRDefault="00CB2DEB" w:rsidP="00CB2DEB">
      <w:pPr>
        <w:pStyle w:val="MainText"/>
        <w:spacing w:line="240" w:lineRule="auto"/>
        <w:rPr>
          <w:rFonts w:ascii="Arial" w:hAnsi="Arial" w:cs="Arial"/>
          <w:szCs w:val="22"/>
        </w:rPr>
      </w:pPr>
    </w:p>
    <w:p w:rsidR="00B756D3" w:rsidRDefault="00CB2DEB" w:rsidP="00B756D3">
      <w:pPr>
        <w:numPr>
          <w:ilvl w:val="0"/>
          <w:numId w:val="22"/>
        </w:numPr>
        <w:rPr>
          <w:rFonts w:ascii="Arial" w:hAnsi="Arial" w:cs="Arial"/>
          <w:sz w:val="22"/>
          <w:szCs w:val="22"/>
        </w:rPr>
      </w:pPr>
      <w:r w:rsidRPr="00B756D3">
        <w:rPr>
          <w:rFonts w:ascii="Arial" w:hAnsi="Arial" w:cs="Arial"/>
          <w:sz w:val="22"/>
          <w:szCs w:val="22"/>
        </w:rPr>
        <w:t>The perfo</w:t>
      </w:r>
      <w:r w:rsidR="005A321B" w:rsidRPr="00B756D3">
        <w:rPr>
          <w:rFonts w:ascii="Arial" w:hAnsi="Arial" w:cs="Arial"/>
          <w:sz w:val="22"/>
          <w:szCs w:val="22"/>
        </w:rPr>
        <w:t xml:space="preserve">rmance information for the </w:t>
      </w:r>
      <w:r w:rsidR="00586E8C">
        <w:rPr>
          <w:rFonts w:ascii="Arial" w:hAnsi="Arial" w:cs="Arial"/>
          <w:sz w:val="22"/>
          <w:szCs w:val="22"/>
        </w:rPr>
        <w:t xml:space="preserve">first </w:t>
      </w:r>
      <w:r w:rsidR="00D61F68">
        <w:rPr>
          <w:rFonts w:ascii="Arial" w:hAnsi="Arial" w:cs="Arial"/>
          <w:sz w:val="22"/>
          <w:szCs w:val="22"/>
        </w:rPr>
        <w:t>nine</w:t>
      </w:r>
      <w:r w:rsidR="00586E8C">
        <w:rPr>
          <w:rFonts w:ascii="Arial" w:hAnsi="Arial" w:cs="Arial"/>
          <w:sz w:val="22"/>
          <w:szCs w:val="22"/>
        </w:rPr>
        <w:t xml:space="preserve"> months</w:t>
      </w:r>
      <w:r w:rsidR="006B3745">
        <w:rPr>
          <w:rFonts w:ascii="Arial" w:hAnsi="Arial" w:cs="Arial"/>
          <w:sz w:val="22"/>
          <w:szCs w:val="22"/>
        </w:rPr>
        <w:t xml:space="preserve"> to</w:t>
      </w:r>
      <w:r w:rsidR="005A321B" w:rsidRPr="00B756D3">
        <w:rPr>
          <w:rFonts w:ascii="Arial" w:hAnsi="Arial" w:cs="Arial"/>
          <w:sz w:val="22"/>
          <w:szCs w:val="22"/>
        </w:rPr>
        <w:t xml:space="preserve"> the end of </w:t>
      </w:r>
      <w:r w:rsidR="00D61F68">
        <w:rPr>
          <w:rFonts w:ascii="Arial" w:hAnsi="Arial" w:cs="Arial"/>
          <w:sz w:val="22"/>
          <w:szCs w:val="22"/>
        </w:rPr>
        <w:t>December</w:t>
      </w:r>
      <w:r w:rsidR="00E20B07">
        <w:rPr>
          <w:rFonts w:ascii="Arial" w:hAnsi="Arial" w:cs="Arial"/>
          <w:sz w:val="22"/>
          <w:szCs w:val="22"/>
        </w:rPr>
        <w:t xml:space="preserve"> 2014</w:t>
      </w:r>
      <w:r w:rsidRPr="00B756D3">
        <w:rPr>
          <w:rFonts w:ascii="Arial" w:hAnsi="Arial" w:cs="Arial"/>
          <w:sz w:val="22"/>
          <w:szCs w:val="22"/>
        </w:rPr>
        <w:t xml:space="preserve"> is now presented in the detailed </w:t>
      </w:r>
      <w:r w:rsidR="00CB4181">
        <w:rPr>
          <w:rFonts w:ascii="Arial" w:hAnsi="Arial" w:cs="Arial"/>
          <w:sz w:val="22"/>
          <w:szCs w:val="22"/>
        </w:rPr>
        <w:t>appendices to this report. A</w:t>
      </w:r>
      <w:r w:rsidRPr="00B756D3">
        <w:rPr>
          <w:rFonts w:ascii="Arial" w:hAnsi="Arial" w:cs="Arial"/>
          <w:sz w:val="22"/>
          <w:szCs w:val="22"/>
        </w:rPr>
        <w:t xml:space="preserve"> summary of the key issues arising is set out below.</w:t>
      </w:r>
    </w:p>
    <w:p w:rsidR="00CB2DEB" w:rsidRPr="00B756D3" w:rsidRDefault="00CB2DEB" w:rsidP="00CB2DEB">
      <w:pPr>
        <w:pStyle w:val="MainText"/>
        <w:spacing w:line="240" w:lineRule="auto"/>
        <w:rPr>
          <w:rFonts w:ascii="Arial" w:hAnsi="Arial" w:cs="Arial"/>
          <w:szCs w:val="22"/>
        </w:rPr>
      </w:pPr>
    </w:p>
    <w:p w:rsidR="00CB2DEB" w:rsidRPr="000A677C" w:rsidRDefault="00CB2DEB" w:rsidP="00CB2DEB">
      <w:pPr>
        <w:pStyle w:val="MainText"/>
        <w:spacing w:line="240" w:lineRule="auto"/>
        <w:rPr>
          <w:rFonts w:ascii="Arial" w:hAnsi="Arial" w:cs="Arial"/>
          <w:b/>
          <w:szCs w:val="22"/>
        </w:rPr>
      </w:pPr>
      <w:r w:rsidRPr="009F7169">
        <w:rPr>
          <w:rFonts w:ascii="Arial" w:hAnsi="Arial" w:cs="Arial"/>
          <w:b/>
          <w:szCs w:val="22"/>
        </w:rPr>
        <w:t>Delivery of the LGA’s programmes</w:t>
      </w:r>
    </w:p>
    <w:p w:rsidR="0070597B" w:rsidRPr="00B756D3" w:rsidRDefault="0070597B" w:rsidP="000A677C">
      <w:pPr>
        <w:pStyle w:val="MainText"/>
        <w:spacing w:line="240" w:lineRule="auto"/>
        <w:rPr>
          <w:rFonts w:ascii="Arial" w:hAnsi="Arial" w:cs="Arial"/>
          <w:szCs w:val="22"/>
        </w:rPr>
      </w:pPr>
    </w:p>
    <w:p w:rsidR="00CB2DEB" w:rsidRPr="00B756D3" w:rsidRDefault="00CB2DEB" w:rsidP="00B756D3">
      <w:pPr>
        <w:numPr>
          <w:ilvl w:val="0"/>
          <w:numId w:val="22"/>
        </w:numPr>
        <w:rPr>
          <w:rFonts w:ascii="Arial" w:hAnsi="Arial" w:cs="Arial"/>
          <w:sz w:val="22"/>
          <w:szCs w:val="22"/>
        </w:rPr>
      </w:pPr>
      <w:r w:rsidRPr="00B756D3">
        <w:rPr>
          <w:rFonts w:ascii="Arial" w:hAnsi="Arial" w:cs="Arial"/>
          <w:sz w:val="22"/>
          <w:szCs w:val="22"/>
        </w:rPr>
        <w:t xml:space="preserve">A summary of delivery against each of the </w:t>
      </w:r>
      <w:r w:rsidR="00CD7B88">
        <w:rPr>
          <w:rFonts w:ascii="Arial" w:hAnsi="Arial" w:cs="Arial"/>
          <w:sz w:val="22"/>
          <w:szCs w:val="22"/>
        </w:rPr>
        <w:t>work programmes</w:t>
      </w:r>
      <w:r w:rsidRPr="00B756D3">
        <w:rPr>
          <w:rFonts w:ascii="Arial" w:hAnsi="Arial" w:cs="Arial"/>
          <w:sz w:val="22"/>
          <w:szCs w:val="22"/>
        </w:rPr>
        <w:t xml:space="preserve"> in the </w:t>
      </w:r>
      <w:r w:rsidR="006F6960">
        <w:rPr>
          <w:rFonts w:ascii="Arial" w:hAnsi="Arial" w:cs="Arial"/>
          <w:sz w:val="22"/>
          <w:szCs w:val="22"/>
        </w:rPr>
        <w:t>2014/15</w:t>
      </w:r>
      <w:r w:rsidR="000A677C">
        <w:rPr>
          <w:rFonts w:ascii="Arial" w:hAnsi="Arial" w:cs="Arial"/>
          <w:sz w:val="22"/>
          <w:szCs w:val="22"/>
        </w:rPr>
        <w:t xml:space="preserve"> </w:t>
      </w:r>
      <w:r w:rsidRPr="00B756D3">
        <w:rPr>
          <w:rFonts w:ascii="Arial" w:hAnsi="Arial" w:cs="Arial"/>
          <w:sz w:val="22"/>
          <w:szCs w:val="22"/>
        </w:rPr>
        <w:t xml:space="preserve">business plan is included at </w:t>
      </w:r>
      <w:r w:rsidRPr="00B756D3">
        <w:rPr>
          <w:rFonts w:ascii="Arial" w:hAnsi="Arial" w:cs="Arial"/>
          <w:b/>
          <w:sz w:val="22"/>
          <w:szCs w:val="22"/>
          <w:u w:val="single"/>
        </w:rPr>
        <w:t>Appendix A</w:t>
      </w:r>
      <w:r w:rsidRPr="00B756D3">
        <w:rPr>
          <w:rFonts w:ascii="Arial" w:hAnsi="Arial" w:cs="Arial"/>
          <w:sz w:val="22"/>
          <w:szCs w:val="22"/>
        </w:rPr>
        <w:t>. This sets out, for each objective, what has been delivered with a commentary on progress to date. A standard traffic light rating has been applied as follows:</w:t>
      </w:r>
    </w:p>
    <w:p w:rsidR="00CB2DEB" w:rsidRPr="00B756D3" w:rsidRDefault="00CB2DEB" w:rsidP="00CB2DEB">
      <w:pPr>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485"/>
        <w:gridCol w:w="6112"/>
        <w:gridCol w:w="1391"/>
      </w:tblGrid>
      <w:tr w:rsidR="00CB2DEB" w:rsidRPr="00B756D3" w:rsidTr="00DE3ADA">
        <w:tc>
          <w:tcPr>
            <w:tcW w:w="485" w:type="dxa"/>
            <w:tcBorders>
              <w:top w:val="single" w:sz="4" w:space="0" w:color="auto"/>
              <w:left w:val="single" w:sz="4" w:space="0" w:color="auto"/>
              <w:bottom w:val="single" w:sz="4" w:space="0" w:color="auto"/>
              <w:right w:val="single" w:sz="4" w:space="0" w:color="auto"/>
            </w:tcBorders>
            <w:shd w:val="clear" w:color="auto" w:fill="auto"/>
          </w:tcPr>
          <w:p w:rsidR="00CB2DEB" w:rsidRPr="00B756D3" w:rsidRDefault="00CB2DEB" w:rsidP="00793664">
            <w:pPr>
              <w:jc w:val="center"/>
              <w:rPr>
                <w:rFonts w:ascii="Arial" w:hAnsi="Arial" w:cs="Arial"/>
                <w:b/>
                <w:sz w:val="22"/>
                <w:szCs w:val="22"/>
              </w:rPr>
            </w:pPr>
            <w:r w:rsidRPr="00B756D3">
              <w:rPr>
                <w:rFonts w:ascii="Arial" w:hAnsi="Arial" w:cs="Arial"/>
                <w:b/>
                <w:sz w:val="22"/>
                <w:szCs w:val="22"/>
              </w:rPr>
              <w:t>TL</w:t>
            </w:r>
          </w:p>
        </w:tc>
        <w:tc>
          <w:tcPr>
            <w:tcW w:w="6112" w:type="dxa"/>
            <w:tcBorders>
              <w:top w:val="single" w:sz="4" w:space="0" w:color="auto"/>
              <w:left w:val="single" w:sz="4" w:space="0" w:color="auto"/>
              <w:bottom w:val="single" w:sz="4" w:space="0" w:color="auto"/>
              <w:right w:val="single" w:sz="4" w:space="0" w:color="auto"/>
            </w:tcBorders>
            <w:shd w:val="clear" w:color="auto" w:fill="auto"/>
          </w:tcPr>
          <w:p w:rsidR="00CB2DEB" w:rsidRPr="00B756D3" w:rsidRDefault="00CB2DEB">
            <w:pPr>
              <w:rPr>
                <w:rFonts w:ascii="Arial" w:hAnsi="Arial" w:cs="Arial"/>
                <w:b/>
                <w:sz w:val="22"/>
                <w:szCs w:val="22"/>
              </w:rPr>
            </w:pPr>
            <w:r w:rsidRPr="00B756D3">
              <w:rPr>
                <w:rFonts w:ascii="Arial" w:hAnsi="Arial" w:cs="Arial"/>
                <w:b/>
                <w:sz w:val="22"/>
                <w:szCs w:val="22"/>
              </w:rPr>
              <w:t>Definition</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CB2DEB" w:rsidRPr="00B756D3" w:rsidRDefault="00CB2DEB" w:rsidP="00793664">
            <w:pPr>
              <w:jc w:val="center"/>
              <w:rPr>
                <w:rFonts w:ascii="Arial" w:hAnsi="Arial" w:cs="Arial"/>
                <w:b/>
                <w:sz w:val="22"/>
                <w:szCs w:val="22"/>
              </w:rPr>
            </w:pPr>
            <w:r w:rsidRPr="00B756D3">
              <w:rPr>
                <w:rFonts w:ascii="Arial" w:hAnsi="Arial" w:cs="Arial"/>
                <w:b/>
                <w:sz w:val="22"/>
                <w:szCs w:val="22"/>
              </w:rPr>
              <w:t>Total</w:t>
            </w:r>
          </w:p>
        </w:tc>
      </w:tr>
      <w:tr w:rsidR="00DE3ADA" w:rsidRPr="00B756D3" w:rsidTr="00DE3ADA">
        <w:tc>
          <w:tcPr>
            <w:tcW w:w="485" w:type="dxa"/>
            <w:tcBorders>
              <w:top w:val="single" w:sz="4" w:space="0" w:color="auto"/>
              <w:left w:val="single" w:sz="4" w:space="0" w:color="auto"/>
              <w:bottom w:val="single" w:sz="4" w:space="0" w:color="auto"/>
              <w:right w:val="single" w:sz="4" w:space="0" w:color="auto"/>
            </w:tcBorders>
            <w:shd w:val="clear" w:color="auto" w:fill="00FF00"/>
          </w:tcPr>
          <w:p w:rsidR="00DE3ADA" w:rsidRPr="00B756D3" w:rsidRDefault="00DE3ADA" w:rsidP="00793664">
            <w:pPr>
              <w:jc w:val="center"/>
              <w:rPr>
                <w:rFonts w:ascii="Arial" w:hAnsi="Arial" w:cs="Arial"/>
                <w:b/>
                <w:sz w:val="22"/>
                <w:szCs w:val="22"/>
              </w:rPr>
            </w:pPr>
            <w:r w:rsidRPr="00B756D3">
              <w:rPr>
                <w:rFonts w:ascii="Arial" w:hAnsi="Arial" w:cs="Arial"/>
                <w:b/>
                <w:sz w:val="22"/>
                <w:szCs w:val="22"/>
              </w:rPr>
              <w:t>G</w:t>
            </w:r>
          </w:p>
        </w:tc>
        <w:tc>
          <w:tcPr>
            <w:tcW w:w="6112" w:type="dxa"/>
            <w:tcBorders>
              <w:top w:val="single" w:sz="4" w:space="0" w:color="auto"/>
              <w:left w:val="single" w:sz="4" w:space="0" w:color="auto"/>
              <w:bottom w:val="single" w:sz="4" w:space="0" w:color="auto"/>
              <w:right w:val="single" w:sz="4" w:space="0" w:color="auto"/>
            </w:tcBorders>
            <w:shd w:val="clear" w:color="auto" w:fill="auto"/>
          </w:tcPr>
          <w:p w:rsidR="00DE3ADA" w:rsidRPr="00B756D3" w:rsidRDefault="00DE3ADA" w:rsidP="001D04EB">
            <w:pPr>
              <w:rPr>
                <w:rFonts w:ascii="Arial" w:hAnsi="Arial" w:cs="Arial"/>
                <w:b/>
                <w:sz w:val="22"/>
                <w:szCs w:val="22"/>
              </w:rPr>
            </w:pPr>
            <w:r>
              <w:rPr>
                <w:rFonts w:ascii="Arial" w:hAnsi="Arial" w:cs="Arial"/>
                <w:b/>
                <w:sz w:val="22"/>
                <w:szCs w:val="22"/>
              </w:rPr>
              <w:t>Work programme delivered or on track to be delivered</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9A7A7E" w:rsidRPr="008A0410" w:rsidRDefault="00DE3ADA" w:rsidP="009A7A7E">
            <w:pPr>
              <w:jc w:val="center"/>
              <w:rPr>
                <w:rFonts w:ascii="Arial" w:hAnsi="Arial" w:cs="Arial"/>
                <w:b/>
                <w:sz w:val="22"/>
                <w:szCs w:val="22"/>
              </w:rPr>
            </w:pPr>
            <w:r w:rsidRPr="008A0410">
              <w:rPr>
                <w:rFonts w:ascii="Arial" w:hAnsi="Arial" w:cs="Arial"/>
                <w:b/>
                <w:sz w:val="22"/>
                <w:szCs w:val="22"/>
              </w:rPr>
              <w:t>3</w:t>
            </w:r>
            <w:r w:rsidR="00974137" w:rsidRPr="008A0410">
              <w:rPr>
                <w:rFonts w:ascii="Arial" w:hAnsi="Arial" w:cs="Arial"/>
                <w:b/>
                <w:sz w:val="22"/>
                <w:szCs w:val="22"/>
              </w:rPr>
              <w:t>8</w:t>
            </w:r>
          </w:p>
        </w:tc>
      </w:tr>
      <w:tr w:rsidR="00DE3ADA" w:rsidRPr="00B756D3" w:rsidTr="00DE3ADA">
        <w:tc>
          <w:tcPr>
            <w:tcW w:w="485" w:type="dxa"/>
            <w:tcBorders>
              <w:top w:val="single" w:sz="4" w:space="0" w:color="auto"/>
              <w:left w:val="single" w:sz="4" w:space="0" w:color="auto"/>
              <w:bottom w:val="single" w:sz="4" w:space="0" w:color="auto"/>
              <w:right w:val="single" w:sz="4" w:space="0" w:color="auto"/>
            </w:tcBorders>
            <w:shd w:val="clear" w:color="auto" w:fill="FF6600"/>
          </w:tcPr>
          <w:p w:rsidR="00DE3ADA" w:rsidRPr="00B756D3" w:rsidRDefault="00DE3ADA" w:rsidP="00793664">
            <w:pPr>
              <w:jc w:val="center"/>
              <w:rPr>
                <w:rFonts w:ascii="Arial" w:hAnsi="Arial" w:cs="Arial"/>
                <w:b/>
                <w:sz w:val="22"/>
                <w:szCs w:val="22"/>
              </w:rPr>
            </w:pPr>
            <w:r w:rsidRPr="00B756D3">
              <w:rPr>
                <w:rFonts w:ascii="Arial" w:hAnsi="Arial" w:cs="Arial"/>
                <w:b/>
                <w:sz w:val="22"/>
                <w:szCs w:val="22"/>
              </w:rPr>
              <w:t>A</w:t>
            </w:r>
          </w:p>
        </w:tc>
        <w:tc>
          <w:tcPr>
            <w:tcW w:w="6112" w:type="dxa"/>
            <w:tcBorders>
              <w:top w:val="single" w:sz="4" w:space="0" w:color="auto"/>
              <w:left w:val="single" w:sz="4" w:space="0" w:color="auto"/>
              <w:bottom w:val="single" w:sz="4" w:space="0" w:color="auto"/>
              <w:right w:val="single" w:sz="4" w:space="0" w:color="auto"/>
            </w:tcBorders>
            <w:shd w:val="clear" w:color="auto" w:fill="auto"/>
          </w:tcPr>
          <w:p w:rsidR="00DE3ADA" w:rsidRPr="00B756D3" w:rsidRDefault="00DE3ADA" w:rsidP="001D04EB">
            <w:pPr>
              <w:rPr>
                <w:rFonts w:ascii="Arial" w:hAnsi="Arial" w:cs="Arial"/>
                <w:b/>
                <w:sz w:val="22"/>
                <w:szCs w:val="22"/>
              </w:rPr>
            </w:pPr>
            <w:r>
              <w:rPr>
                <w:rFonts w:ascii="Arial" w:hAnsi="Arial" w:cs="Arial"/>
                <w:b/>
                <w:sz w:val="22"/>
                <w:szCs w:val="22"/>
              </w:rPr>
              <w:t>Work programme at risk of not being delivered</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DE3ADA" w:rsidRPr="008A0410" w:rsidRDefault="00974137" w:rsidP="003E12FA">
            <w:pPr>
              <w:jc w:val="center"/>
              <w:rPr>
                <w:rFonts w:ascii="Arial" w:hAnsi="Arial" w:cs="Arial"/>
                <w:b/>
                <w:sz w:val="22"/>
                <w:szCs w:val="22"/>
              </w:rPr>
            </w:pPr>
            <w:r w:rsidRPr="008A0410">
              <w:rPr>
                <w:rFonts w:ascii="Arial" w:hAnsi="Arial" w:cs="Arial"/>
                <w:b/>
                <w:sz w:val="22"/>
                <w:szCs w:val="22"/>
              </w:rPr>
              <w:t>4</w:t>
            </w:r>
          </w:p>
        </w:tc>
      </w:tr>
      <w:tr w:rsidR="00DE3ADA" w:rsidRPr="00B756D3" w:rsidTr="00DE3ADA">
        <w:tc>
          <w:tcPr>
            <w:tcW w:w="485" w:type="dxa"/>
            <w:tcBorders>
              <w:top w:val="single" w:sz="4" w:space="0" w:color="auto"/>
              <w:left w:val="single" w:sz="4" w:space="0" w:color="auto"/>
              <w:bottom w:val="single" w:sz="4" w:space="0" w:color="auto"/>
              <w:right w:val="single" w:sz="4" w:space="0" w:color="auto"/>
            </w:tcBorders>
            <w:shd w:val="clear" w:color="auto" w:fill="FF0000"/>
          </w:tcPr>
          <w:p w:rsidR="00DE3ADA" w:rsidRPr="00B756D3" w:rsidRDefault="00DE3ADA" w:rsidP="00793664">
            <w:pPr>
              <w:jc w:val="center"/>
              <w:rPr>
                <w:rFonts w:ascii="Arial" w:hAnsi="Arial" w:cs="Arial"/>
                <w:b/>
                <w:sz w:val="22"/>
                <w:szCs w:val="22"/>
              </w:rPr>
            </w:pPr>
            <w:r w:rsidRPr="00B756D3">
              <w:rPr>
                <w:rFonts w:ascii="Arial" w:hAnsi="Arial" w:cs="Arial"/>
                <w:b/>
                <w:sz w:val="22"/>
                <w:szCs w:val="22"/>
              </w:rPr>
              <w:t>R</w:t>
            </w:r>
          </w:p>
        </w:tc>
        <w:tc>
          <w:tcPr>
            <w:tcW w:w="6112" w:type="dxa"/>
            <w:tcBorders>
              <w:top w:val="single" w:sz="4" w:space="0" w:color="auto"/>
              <w:left w:val="single" w:sz="4" w:space="0" w:color="auto"/>
              <w:bottom w:val="single" w:sz="4" w:space="0" w:color="auto"/>
              <w:right w:val="single" w:sz="4" w:space="0" w:color="auto"/>
            </w:tcBorders>
            <w:shd w:val="clear" w:color="auto" w:fill="auto"/>
          </w:tcPr>
          <w:p w:rsidR="00DE3ADA" w:rsidRPr="00B756D3" w:rsidRDefault="00DE3ADA" w:rsidP="001D04EB">
            <w:pPr>
              <w:rPr>
                <w:rFonts w:ascii="Arial" w:hAnsi="Arial" w:cs="Arial"/>
                <w:b/>
                <w:sz w:val="22"/>
                <w:szCs w:val="22"/>
              </w:rPr>
            </w:pPr>
            <w:r>
              <w:rPr>
                <w:rFonts w:ascii="Arial" w:hAnsi="Arial" w:cs="Arial"/>
                <w:b/>
                <w:sz w:val="22"/>
                <w:szCs w:val="22"/>
              </w:rPr>
              <w:t>Work programme</w:t>
            </w:r>
            <w:r w:rsidRPr="00B756D3">
              <w:rPr>
                <w:rFonts w:ascii="Arial" w:hAnsi="Arial" w:cs="Arial"/>
                <w:b/>
                <w:sz w:val="22"/>
                <w:szCs w:val="22"/>
              </w:rPr>
              <w:t xml:space="preserve"> will not be </w:t>
            </w:r>
            <w:r>
              <w:rPr>
                <w:rFonts w:ascii="Arial" w:hAnsi="Arial" w:cs="Arial"/>
                <w:b/>
                <w:sz w:val="22"/>
                <w:szCs w:val="22"/>
              </w:rPr>
              <w:t>delivered</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DE3ADA" w:rsidRPr="008A0410" w:rsidRDefault="00DE3ADA" w:rsidP="00793664">
            <w:pPr>
              <w:jc w:val="center"/>
              <w:rPr>
                <w:rFonts w:ascii="Arial" w:hAnsi="Arial" w:cs="Arial"/>
                <w:b/>
                <w:sz w:val="22"/>
                <w:szCs w:val="22"/>
              </w:rPr>
            </w:pPr>
            <w:r w:rsidRPr="008A0410">
              <w:rPr>
                <w:rFonts w:ascii="Arial" w:hAnsi="Arial" w:cs="Arial"/>
                <w:b/>
                <w:sz w:val="22"/>
                <w:szCs w:val="22"/>
              </w:rPr>
              <w:t>0</w:t>
            </w:r>
          </w:p>
        </w:tc>
      </w:tr>
      <w:tr w:rsidR="00CB2DEB" w:rsidRPr="00B756D3" w:rsidTr="00DE3ADA">
        <w:tc>
          <w:tcPr>
            <w:tcW w:w="485" w:type="dxa"/>
            <w:tcBorders>
              <w:top w:val="single" w:sz="4" w:space="0" w:color="auto"/>
              <w:left w:val="single" w:sz="4" w:space="0" w:color="auto"/>
              <w:bottom w:val="single" w:sz="4" w:space="0" w:color="auto"/>
              <w:right w:val="single" w:sz="4" w:space="0" w:color="auto"/>
            </w:tcBorders>
            <w:shd w:val="clear" w:color="auto" w:fill="auto"/>
          </w:tcPr>
          <w:p w:rsidR="00CB2DEB" w:rsidRPr="00B756D3" w:rsidRDefault="00CB2DEB" w:rsidP="00793664">
            <w:pPr>
              <w:jc w:val="center"/>
              <w:rPr>
                <w:rFonts w:ascii="Arial" w:hAnsi="Arial" w:cs="Arial"/>
                <w:b/>
                <w:sz w:val="22"/>
                <w:szCs w:val="22"/>
              </w:rPr>
            </w:pPr>
          </w:p>
        </w:tc>
        <w:tc>
          <w:tcPr>
            <w:tcW w:w="6112" w:type="dxa"/>
            <w:tcBorders>
              <w:top w:val="single" w:sz="4" w:space="0" w:color="auto"/>
              <w:left w:val="single" w:sz="4" w:space="0" w:color="auto"/>
              <w:bottom w:val="single" w:sz="4" w:space="0" w:color="auto"/>
              <w:right w:val="single" w:sz="4" w:space="0" w:color="auto"/>
            </w:tcBorders>
            <w:shd w:val="clear" w:color="auto" w:fill="auto"/>
          </w:tcPr>
          <w:p w:rsidR="00CB2DEB" w:rsidRPr="00B756D3" w:rsidRDefault="00CB2DEB">
            <w:pPr>
              <w:rPr>
                <w:rFonts w:ascii="Arial" w:hAnsi="Arial" w:cs="Arial"/>
                <w:b/>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CB2DEB" w:rsidRPr="00B756D3" w:rsidRDefault="003338B0" w:rsidP="00793664">
            <w:pPr>
              <w:jc w:val="center"/>
              <w:rPr>
                <w:rFonts w:ascii="Arial" w:hAnsi="Arial" w:cs="Arial"/>
                <w:b/>
                <w:sz w:val="22"/>
                <w:szCs w:val="22"/>
              </w:rPr>
            </w:pPr>
            <w:r>
              <w:rPr>
                <w:rFonts w:ascii="Arial" w:hAnsi="Arial" w:cs="Arial"/>
                <w:b/>
                <w:sz w:val="22"/>
                <w:szCs w:val="22"/>
              </w:rPr>
              <w:t>4</w:t>
            </w:r>
            <w:r w:rsidR="00DE3ADA">
              <w:rPr>
                <w:rFonts w:ascii="Arial" w:hAnsi="Arial" w:cs="Arial"/>
                <w:b/>
                <w:sz w:val="22"/>
                <w:szCs w:val="22"/>
              </w:rPr>
              <w:t>2</w:t>
            </w:r>
          </w:p>
        </w:tc>
      </w:tr>
    </w:tbl>
    <w:p w:rsidR="00932FFA" w:rsidRPr="00B756D3" w:rsidRDefault="00932FFA" w:rsidP="00CB2DEB">
      <w:pPr>
        <w:pStyle w:val="MainText"/>
        <w:spacing w:line="240" w:lineRule="auto"/>
        <w:ind w:left="567" w:hanging="567"/>
        <w:rPr>
          <w:rFonts w:ascii="Arial" w:hAnsi="Arial" w:cs="Arial"/>
          <w:szCs w:val="22"/>
        </w:rPr>
      </w:pPr>
    </w:p>
    <w:p w:rsidR="0033056D" w:rsidRPr="00B6670F" w:rsidRDefault="00B87E75" w:rsidP="0033056D">
      <w:pPr>
        <w:numPr>
          <w:ilvl w:val="0"/>
          <w:numId w:val="22"/>
        </w:numPr>
        <w:rPr>
          <w:rFonts w:ascii="Arial" w:hAnsi="Arial" w:cs="Arial"/>
          <w:sz w:val="22"/>
          <w:szCs w:val="22"/>
        </w:rPr>
      </w:pPr>
      <w:r w:rsidRPr="00B6670F">
        <w:rPr>
          <w:rFonts w:ascii="Arial" w:hAnsi="Arial" w:cs="Arial"/>
          <w:sz w:val="22"/>
          <w:szCs w:val="22"/>
        </w:rPr>
        <w:br w:type="page"/>
      </w:r>
      <w:r w:rsidR="00CB2DEB" w:rsidRPr="00B6670F">
        <w:rPr>
          <w:rFonts w:ascii="Arial" w:hAnsi="Arial" w:cs="Arial"/>
          <w:sz w:val="22"/>
          <w:szCs w:val="22"/>
        </w:rPr>
        <w:lastRenderedPageBreak/>
        <w:t xml:space="preserve">The performance report shows that </w:t>
      </w:r>
      <w:r w:rsidR="0011628E" w:rsidRPr="00B6670F">
        <w:rPr>
          <w:rFonts w:ascii="Arial" w:hAnsi="Arial" w:cs="Arial"/>
          <w:sz w:val="22"/>
          <w:szCs w:val="22"/>
        </w:rPr>
        <w:t xml:space="preserve">we </w:t>
      </w:r>
      <w:r w:rsidR="003338B0" w:rsidRPr="00B6670F">
        <w:rPr>
          <w:rFonts w:ascii="Arial" w:hAnsi="Arial" w:cs="Arial"/>
          <w:sz w:val="22"/>
          <w:szCs w:val="22"/>
        </w:rPr>
        <w:t xml:space="preserve">are on track to </w:t>
      </w:r>
      <w:r w:rsidR="0011628E" w:rsidRPr="00B6670F">
        <w:rPr>
          <w:rFonts w:ascii="Arial" w:hAnsi="Arial" w:cs="Arial"/>
          <w:sz w:val="22"/>
          <w:szCs w:val="22"/>
        </w:rPr>
        <w:t>deli</w:t>
      </w:r>
      <w:r w:rsidR="0011628E" w:rsidRPr="008A0410">
        <w:rPr>
          <w:rFonts w:ascii="Arial" w:hAnsi="Arial" w:cs="Arial"/>
          <w:sz w:val="22"/>
          <w:szCs w:val="22"/>
        </w:rPr>
        <w:t xml:space="preserve">ver </w:t>
      </w:r>
      <w:r w:rsidR="00623B1C" w:rsidRPr="008A0410">
        <w:rPr>
          <w:rFonts w:ascii="Arial" w:hAnsi="Arial" w:cs="Arial"/>
          <w:sz w:val="22"/>
          <w:szCs w:val="22"/>
        </w:rPr>
        <w:t>3</w:t>
      </w:r>
      <w:r w:rsidR="00974137" w:rsidRPr="008A0410">
        <w:rPr>
          <w:rFonts w:ascii="Arial" w:hAnsi="Arial" w:cs="Arial"/>
          <w:sz w:val="22"/>
          <w:szCs w:val="22"/>
        </w:rPr>
        <w:t>8</w:t>
      </w:r>
      <w:r w:rsidR="0011628E" w:rsidRPr="008A0410">
        <w:rPr>
          <w:rFonts w:ascii="Arial" w:hAnsi="Arial" w:cs="Arial"/>
          <w:sz w:val="22"/>
          <w:szCs w:val="22"/>
        </w:rPr>
        <w:t xml:space="preserve"> </w:t>
      </w:r>
      <w:r w:rsidR="00CB2DEB" w:rsidRPr="008A0410">
        <w:rPr>
          <w:rFonts w:ascii="Arial" w:hAnsi="Arial" w:cs="Arial"/>
          <w:sz w:val="22"/>
          <w:szCs w:val="22"/>
        </w:rPr>
        <w:t>of</w:t>
      </w:r>
      <w:r w:rsidR="00CB2DEB" w:rsidRPr="00B6670F">
        <w:rPr>
          <w:rFonts w:ascii="Arial" w:hAnsi="Arial" w:cs="Arial"/>
          <w:sz w:val="22"/>
          <w:szCs w:val="22"/>
        </w:rPr>
        <w:t xml:space="preserve"> t</w:t>
      </w:r>
      <w:r w:rsidR="0011628E" w:rsidRPr="00B6670F">
        <w:rPr>
          <w:rFonts w:ascii="Arial" w:hAnsi="Arial" w:cs="Arial"/>
          <w:sz w:val="22"/>
          <w:szCs w:val="22"/>
        </w:rPr>
        <w:t xml:space="preserve">he </w:t>
      </w:r>
      <w:r w:rsidR="00E50848" w:rsidRPr="00B6670F">
        <w:rPr>
          <w:rFonts w:ascii="Arial" w:hAnsi="Arial" w:cs="Arial"/>
          <w:sz w:val="22"/>
          <w:szCs w:val="22"/>
        </w:rPr>
        <w:t>4</w:t>
      </w:r>
      <w:r w:rsidR="00B6670F" w:rsidRPr="00B6670F">
        <w:rPr>
          <w:rFonts w:ascii="Arial" w:hAnsi="Arial" w:cs="Arial"/>
          <w:sz w:val="22"/>
          <w:szCs w:val="22"/>
        </w:rPr>
        <w:t>2</w:t>
      </w:r>
      <w:r w:rsidR="0011628E" w:rsidRPr="00B6670F">
        <w:rPr>
          <w:rFonts w:ascii="Arial" w:hAnsi="Arial" w:cs="Arial"/>
          <w:sz w:val="22"/>
          <w:szCs w:val="22"/>
        </w:rPr>
        <w:t xml:space="preserve"> </w:t>
      </w:r>
      <w:r w:rsidR="008A0BE2" w:rsidRPr="00B6670F">
        <w:rPr>
          <w:rFonts w:ascii="Arial" w:hAnsi="Arial" w:cs="Arial"/>
          <w:sz w:val="22"/>
          <w:szCs w:val="22"/>
        </w:rPr>
        <w:t>programmes</w:t>
      </w:r>
      <w:r w:rsidR="00CB2DEB" w:rsidRPr="00B6670F">
        <w:rPr>
          <w:rFonts w:ascii="Arial" w:hAnsi="Arial" w:cs="Arial"/>
          <w:sz w:val="22"/>
          <w:szCs w:val="22"/>
        </w:rPr>
        <w:t xml:space="preserve"> identified in the business plan</w:t>
      </w:r>
      <w:r w:rsidRPr="00B6670F">
        <w:rPr>
          <w:rFonts w:ascii="Arial" w:hAnsi="Arial" w:cs="Arial"/>
          <w:sz w:val="22"/>
          <w:szCs w:val="22"/>
        </w:rPr>
        <w:t xml:space="preserve">. </w:t>
      </w:r>
      <w:r w:rsidR="003D24E8" w:rsidRPr="00B6670F">
        <w:rPr>
          <w:rFonts w:ascii="Arial" w:hAnsi="Arial" w:cs="Arial"/>
          <w:sz w:val="22"/>
          <w:szCs w:val="22"/>
        </w:rPr>
        <w:t>This assessment relates to delivery of the LGA’s operational programmes where the overall conclusion is that work is un</w:t>
      </w:r>
      <w:r w:rsidR="00586E8C">
        <w:rPr>
          <w:rFonts w:ascii="Arial" w:hAnsi="Arial" w:cs="Arial"/>
          <w:sz w:val="22"/>
          <w:szCs w:val="22"/>
        </w:rPr>
        <w:t>derway and on track</w:t>
      </w:r>
      <w:r w:rsidR="003D24E8" w:rsidRPr="00B6670F">
        <w:rPr>
          <w:rFonts w:ascii="Arial" w:hAnsi="Arial" w:cs="Arial"/>
          <w:sz w:val="22"/>
          <w:szCs w:val="22"/>
        </w:rPr>
        <w:t xml:space="preserve">. </w:t>
      </w:r>
    </w:p>
    <w:p w:rsidR="00B87E75" w:rsidRDefault="00B87E75" w:rsidP="00552BFD">
      <w:pPr>
        <w:rPr>
          <w:rFonts w:ascii="Arial" w:hAnsi="Arial" w:cs="Arial"/>
          <w:sz w:val="22"/>
          <w:szCs w:val="22"/>
        </w:rPr>
      </w:pPr>
    </w:p>
    <w:p w:rsidR="00CB2DEB" w:rsidRPr="003338B0" w:rsidRDefault="003D24E8" w:rsidP="00B756D3">
      <w:pPr>
        <w:numPr>
          <w:ilvl w:val="0"/>
          <w:numId w:val="22"/>
        </w:numPr>
        <w:rPr>
          <w:rFonts w:ascii="Arial" w:hAnsi="Arial" w:cs="Arial"/>
          <w:sz w:val="22"/>
          <w:szCs w:val="22"/>
        </w:rPr>
      </w:pPr>
      <w:r>
        <w:rPr>
          <w:rFonts w:ascii="Arial" w:hAnsi="Arial" w:cs="Arial"/>
          <w:sz w:val="22"/>
          <w:szCs w:val="22"/>
        </w:rPr>
        <w:t>The performance report identif</w:t>
      </w:r>
      <w:r w:rsidRPr="008A0410">
        <w:rPr>
          <w:rFonts w:ascii="Arial" w:hAnsi="Arial" w:cs="Arial"/>
          <w:sz w:val="22"/>
          <w:szCs w:val="22"/>
        </w:rPr>
        <w:t xml:space="preserve">ies </w:t>
      </w:r>
      <w:r w:rsidR="008A0410" w:rsidRPr="008A0410">
        <w:rPr>
          <w:rFonts w:ascii="Arial" w:hAnsi="Arial" w:cs="Arial"/>
          <w:sz w:val="22"/>
          <w:szCs w:val="22"/>
        </w:rPr>
        <w:t>four</w:t>
      </w:r>
      <w:r w:rsidRPr="008A0410">
        <w:rPr>
          <w:rFonts w:ascii="Arial" w:hAnsi="Arial" w:cs="Arial"/>
          <w:sz w:val="22"/>
          <w:szCs w:val="22"/>
        </w:rPr>
        <w:t xml:space="preserve"> objecti</w:t>
      </w:r>
      <w:r>
        <w:rPr>
          <w:rFonts w:ascii="Arial" w:hAnsi="Arial" w:cs="Arial"/>
          <w:sz w:val="22"/>
          <w:szCs w:val="22"/>
        </w:rPr>
        <w:t xml:space="preserve">ves where </w:t>
      </w:r>
      <w:r w:rsidR="00552BFD">
        <w:rPr>
          <w:rFonts w:ascii="Arial" w:hAnsi="Arial" w:cs="Arial"/>
          <w:sz w:val="22"/>
          <w:szCs w:val="22"/>
        </w:rPr>
        <w:t xml:space="preserve">the </w:t>
      </w:r>
      <w:r w:rsidR="00652E5C">
        <w:rPr>
          <w:rFonts w:ascii="Arial" w:hAnsi="Arial" w:cs="Arial"/>
          <w:sz w:val="22"/>
          <w:szCs w:val="22"/>
        </w:rPr>
        <w:t>business plan outcomes are at risk of not being achieved</w:t>
      </w:r>
      <w:r w:rsidR="00552BFD">
        <w:rPr>
          <w:rFonts w:ascii="Arial" w:hAnsi="Arial" w:cs="Arial"/>
          <w:sz w:val="22"/>
          <w:szCs w:val="22"/>
        </w:rPr>
        <w:t xml:space="preserve"> in full by year-end</w:t>
      </w:r>
      <w:r>
        <w:rPr>
          <w:rFonts w:ascii="Arial" w:hAnsi="Arial" w:cs="Arial"/>
          <w:sz w:val="22"/>
          <w:szCs w:val="22"/>
        </w:rPr>
        <w:t xml:space="preserve">: </w:t>
      </w:r>
      <w:r w:rsidR="0025565B">
        <w:rPr>
          <w:rFonts w:ascii="Arial" w:hAnsi="Arial" w:cs="Arial"/>
          <w:sz w:val="22"/>
          <w:szCs w:val="22"/>
        </w:rPr>
        <w:t>These are set out below:</w:t>
      </w:r>
    </w:p>
    <w:p w:rsidR="0011628E" w:rsidRPr="00B756D3" w:rsidRDefault="0011628E" w:rsidP="002E014B">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70"/>
      </w:tblGrid>
      <w:tr w:rsidR="0011628E" w:rsidRPr="00B756D3" w:rsidTr="004B3F25">
        <w:tc>
          <w:tcPr>
            <w:tcW w:w="3652" w:type="dxa"/>
            <w:shd w:val="clear" w:color="auto" w:fill="auto"/>
          </w:tcPr>
          <w:p w:rsidR="0011628E" w:rsidRPr="00B756D3" w:rsidRDefault="0011628E" w:rsidP="00793664">
            <w:pPr>
              <w:pStyle w:val="MainText"/>
              <w:spacing w:line="240" w:lineRule="auto"/>
              <w:rPr>
                <w:rFonts w:ascii="Arial" w:hAnsi="Arial" w:cs="Arial"/>
                <w:b/>
                <w:szCs w:val="22"/>
              </w:rPr>
            </w:pPr>
            <w:r w:rsidRPr="00B756D3">
              <w:rPr>
                <w:rFonts w:ascii="Arial" w:hAnsi="Arial" w:cs="Arial"/>
                <w:b/>
                <w:szCs w:val="22"/>
              </w:rPr>
              <w:t>Business Plan Outcome</w:t>
            </w:r>
          </w:p>
        </w:tc>
        <w:tc>
          <w:tcPr>
            <w:tcW w:w="4870" w:type="dxa"/>
            <w:shd w:val="clear" w:color="auto" w:fill="auto"/>
          </w:tcPr>
          <w:p w:rsidR="0011628E" w:rsidRPr="00B756D3" w:rsidRDefault="00FA1CC3" w:rsidP="00793664">
            <w:pPr>
              <w:pStyle w:val="MainText"/>
              <w:spacing w:line="240" w:lineRule="auto"/>
              <w:rPr>
                <w:rFonts w:ascii="Arial" w:hAnsi="Arial" w:cs="Arial"/>
                <w:b/>
                <w:szCs w:val="22"/>
              </w:rPr>
            </w:pPr>
            <w:r w:rsidRPr="00B756D3">
              <w:rPr>
                <w:rFonts w:ascii="Arial" w:hAnsi="Arial" w:cs="Arial"/>
                <w:b/>
                <w:szCs w:val="22"/>
              </w:rPr>
              <w:t>Commentary</w:t>
            </w:r>
          </w:p>
        </w:tc>
      </w:tr>
      <w:tr w:rsidR="000B5ADF" w:rsidRPr="00B756D3" w:rsidTr="004B3F25">
        <w:tc>
          <w:tcPr>
            <w:tcW w:w="3652" w:type="dxa"/>
            <w:shd w:val="clear" w:color="auto" w:fill="auto"/>
          </w:tcPr>
          <w:p w:rsidR="005D6346" w:rsidRPr="00B756D3" w:rsidRDefault="008A0410" w:rsidP="00283E28">
            <w:pPr>
              <w:pStyle w:val="MainText"/>
              <w:spacing w:line="240" w:lineRule="auto"/>
              <w:rPr>
                <w:rFonts w:ascii="Arial" w:hAnsi="Arial" w:cs="Arial"/>
                <w:szCs w:val="22"/>
              </w:rPr>
            </w:pPr>
            <w:r w:rsidRPr="0050334C">
              <w:rPr>
                <w:rFonts w:ascii="Arial" w:hAnsi="Arial" w:cs="Arial"/>
                <w:b/>
                <w:szCs w:val="22"/>
              </w:rPr>
              <w:t xml:space="preserve">Full membership - </w:t>
            </w:r>
            <w:r w:rsidRPr="0050334C">
              <w:rPr>
                <w:rFonts w:ascii="Arial" w:hAnsi="Arial" w:cs="Arial"/>
                <w:szCs w:val="22"/>
              </w:rPr>
              <w:t>we will maintain membership levels amongst local authorities in England and Wales by enhancing the benefits of membership.  Having significantly reduced subscriptions over the last five years, we will maintain subscriptions at current levels and continue to communicate on the benefits of membership directly with individual councils and all councillors.</w:t>
            </w:r>
          </w:p>
        </w:tc>
        <w:tc>
          <w:tcPr>
            <w:tcW w:w="4870" w:type="dxa"/>
            <w:shd w:val="clear" w:color="auto" w:fill="auto"/>
          </w:tcPr>
          <w:p w:rsidR="002052AE" w:rsidRPr="00B756D3" w:rsidRDefault="00863BDD" w:rsidP="00C663AB">
            <w:pPr>
              <w:pStyle w:val="MainText"/>
              <w:rPr>
                <w:rFonts w:ascii="Arial" w:hAnsi="Arial" w:cs="Arial"/>
                <w:szCs w:val="22"/>
              </w:rPr>
            </w:pPr>
            <w:r w:rsidRPr="00863BDD">
              <w:rPr>
                <w:rFonts w:ascii="Arial" w:hAnsi="Arial" w:cs="Arial"/>
                <w:szCs w:val="22"/>
              </w:rPr>
              <w:t>We currently have 12 councils on notice and are working with them to ensure that they remain in membership. Sheffield and Bromley remain out of membership. Membership packs defining membership benefits have been prepared and subscription levels maintained.</w:t>
            </w:r>
          </w:p>
        </w:tc>
      </w:tr>
      <w:tr w:rsidR="00B6670F" w:rsidRPr="00B756D3" w:rsidTr="004B3F25">
        <w:tc>
          <w:tcPr>
            <w:tcW w:w="3652" w:type="dxa"/>
            <w:shd w:val="clear" w:color="auto" w:fill="auto"/>
          </w:tcPr>
          <w:p w:rsidR="00B6670F" w:rsidRPr="002A12F5" w:rsidRDefault="008A0410" w:rsidP="00283E28">
            <w:pPr>
              <w:pStyle w:val="MainText"/>
              <w:spacing w:line="240" w:lineRule="auto"/>
              <w:rPr>
                <w:rFonts w:ascii="Arial" w:hAnsi="Arial" w:cs="Arial"/>
                <w:b/>
                <w:szCs w:val="22"/>
              </w:rPr>
            </w:pPr>
            <w:r w:rsidRPr="0050334C">
              <w:rPr>
                <w:rFonts w:ascii="Arial" w:hAnsi="Arial" w:cs="Arial"/>
                <w:b/>
                <w:szCs w:val="22"/>
              </w:rPr>
              <w:t>Financial sustainability</w:t>
            </w:r>
            <w:r w:rsidRPr="0050334C">
              <w:rPr>
                <w:rFonts w:ascii="Arial" w:hAnsi="Arial" w:cs="Arial"/>
                <w:szCs w:val="22"/>
              </w:rPr>
              <w:t xml:space="preserve"> - we will work with our member authorities and government to ensure we secure core funding for the LGA from 2015/16 from subscriptions and LGA top-slice. We will also implement proposals to develop the commercial activities of the LGA and take action to ensure that we maximise the value of our two properties.</w:t>
            </w:r>
          </w:p>
        </w:tc>
        <w:tc>
          <w:tcPr>
            <w:tcW w:w="4870" w:type="dxa"/>
            <w:shd w:val="clear" w:color="auto" w:fill="auto"/>
          </w:tcPr>
          <w:p w:rsidR="00863BDD" w:rsidRPr="00863BDD" w:rsidRDefault="00863BDD" w:rsidP="00863BDD">
            <w:pPr>
              <w:pStyle w:val="MainText"/>
              <w:rPr>
                <w:rFonts w:ascii="Arial" w:hAnsi="Arial" w:cs="Arial"/>
                <w:szCs w:val="22"/>
              </w:rPr>
            </w:pPr>
            <w:r w:rsidRPr="00863BDD">
              <w:rPr>
                <w:rFonts w:ascii="Arial" w:hAnsi="Arial" w:cs="Arial"/>
                <w:szCs w:val="22"/>
              </w:rPr>
              <w:t>• Core RSG funding of £23.5million secured for 2015/16. Review underway to prepare for 2016/17 onwards.</w:t>
            </w:r>
          </w:p>
          <w:p w:rsidR="00863BDD" w:rsidRPr="00863BDD" w:rsidRDefault="00863BDD" w:rsidP="00863BDD">
            <w:pPr>
              <w:pStyle w:val="MainText"/>
              <w:rPr>
                <w:rFonts w:ascii="Arial" w:hAnsi="Arial" w:cs="Arial"/>
                <w:szCs w:val="22"/>
              </w:rPr>
            </w:pPr>
            <w:r w:rsidRPr="00863BDD">
              <w:rPr>
                <w:rFonts w:ascii="Arial" w:hAnsi="Arial" w:cs="Arial"/>
                <w:szCs w:val="22"/>
              </w:rPr>
              <w:t>• LGA commercial strategy agreed, Head of commercial strategy appointed. Deal Room Develop and Data projects now underway</w:t>
            </w:r>
          </w:p>
          <w:p w:rsidR="00863BDD" w:rsidRPr="00863BDD" w:rsidRDefault="00863BDD" w:rsidP="00863BDD">
            <w:pPr>
              <w:pStyle w:val="MainText"/>
              <w:rPr>
                <w:rFonts w:ascii="Arial" w:hAnsi="Arial" w:cs="Arial"/>
                <w:szCs w:val="22"/>
              </w:rPr>
            </w:pPr>
            <w:r w:rsidRPr="00863BDD">
              <w:rPr>
                <w:rFonts w:ascii="Arial" w:hAnsi="Arial" w:cs="Arial"/>
                <w:szCs w:val="22"/>
              </w:rPr>
              <w:t>• Layden House Refurbishment – City of London appointed to client the project. Building surveys now underway</w:t>
            </w:r>
          </w:p>
          <w:p w:rsidR="009A7A7E" w:rsidRPr="002052AE" w:rsidRDefault="00863BDD" w:rsidP="00863BDD">
            <w:pPr>
              <w:pStyle w:val="MainText"/>
              <w:rPr>
                <w:rFonts w:ascii="Arial" w:hAnsi="Arial" w:cs="Arial"/>
                <w:szCs w:val="22"/>
              </w:rPr>
            </w:pPr>
            <w:r w:rsidRPr="00863BDD">
              <w:rPr>
                <w:rFonts w:ascii="Arial" w:hAnsi="Arial" w:cs="Arial"/>
                <w:szCs w:val="22"/>
              </w:rPr>
              <w:t>• Local Government House – EC Harris options appraisal completed. Repairs programme due to start in February.</w:t>
            </w:r>
          </w:p>
        </w:tc>
      </w:tr>
      <w:tr w:rsidR="0050334C" w:rsidRPr="00B756D3" w:rsidTr="00863BDD">
        <w:trPr>
          <w:trHeight w:val="1403"/>
        </w:trPr>
        <w:tc>
          <w:tcPr>
            <w:tcW w:w="3652" w:type="dxa"/>
            <w:shd w:val="clear" w:color="auto" w:fill="auto"/>
          </w:tcPr>
          <w:p w:rsidR="0050334C" w:rsidRPr="0050334C" w:rsidRDefault="008A0410" w:rsidP="00283E28">
            <w:pPr>
              <w:pStyle w:val="MainText"/>
              <w:spacing w:line="240" w:lineRule="auto"/>
              <w:rPr>
                <w:rFonts w:ascii="Arial" w:hAnsi="Arial" w:cs="Arial"/>
                <w:szCs w:val="22"/>
              </w:rPr>
            </w:pPr>
            <w:r w:rsidRPr="0050334C">
              <w:rPr>
                <w:rFonts w:ascii="Arial" w:hAnsi="Arial" w:cs="Arial"/>
                <w:b/>
                <w:szCs w:val="22"/>
              </w:rPr>
              <w:t>Efficient business management</w:t>
            </w:r>
            <w:r w:rsidRPr="0050334C">
              <w:rPr>
                <w:rFonts w:ascii="Arial" w:hAnsi="Arial" w:cs="Arial"/>
                <w:szCs w:val="22"/>
              </w:rPr>
              <w:t xml:space="preserve"> - we will continue to make changes to improve the efficiency of our back-office services, to achieve a further saving in our overheads</w:t>
            </w:r>
          </w:p>
        </w:tc>
        <w:tc>
          <w:tcPr>
            <w:tcW w:w="4870" w:type="dxa"/>
            <w:shd w:val="clear" w:color="auto" w:fill="auto"/>
          </w:tcPr>
          <w:p w:rsidR="00586E8C" w:rsidRPr="0050334C" w:rsidRDefault="00863BDD" w:rsidP="00863BDD">
            <w:pPr>
              <w:pStyle w:val="MainText"/>
              <w:rPr>
                <w:rFonts w:ascii="Arial" w:hAnsi="Arial" w:cs="Arial"/>
                <w:szCs w:val="22"/>
              </w:rPr>
            </w:pPr>
            <w:r w:rsidRPr="00863BDD">
              <w:rPr>
                <w:rFonts w:ascii="Arial" w:hAnsi="Arial" w:cs="Arial"/>
                <w:szCs w:val="22"/>
              </w:rPr>
              <w:t>Review of overheads completed November 2014. Implementation now underway</w:t>
            </w:r>
          </w:p>
        </w:tc>
      </w:tr>
      <w:tr w:rsidR="0050334C" w:rsidRPr="00B756D3" w:rsidTr="004B3F25">
        <w:tc>
          <w:tcPr>
            <w:tcW w:w="3652" w:type="dxa"/>
            <w:shd w:val="clear" w:color="auto" w:fill="auto"/>
          </w:tcPr>
          <w:p w:rsidR="0050334C" w:rsidRPr="0050334C" w:rsidRDefault="00863BDD" w:rsidP="00283E28">
            <w:pPr>
              <w:pStyle w:val="MainText"/>
              <w:spacing w:line="240" w:lineRule="auto"/>
              <w:rPr>
                <w:rFonts w:ascii="Arial" w:hAnsi="Arial" w:cs="Arial"/>
                <w:szCs w:val="22"/>
              </w:rPr>
            </w:pPr>
            <w:r w:rsidRPr="00863BDD">
              <w:rPr>
                <w:rFonts w:ascii="Arial" w:hAnsi="Arial" w:cs="Arial"/>
                <w:b/>
                <w:szCs w:val="22"/>
              </w:rPr>
              <w:t>Accessible information -</w:t>
            </w:r>
            <w:r w:rsidRPr="00863BDD">
              <w:rPr>
                <w:rFonts w:ascii="Arial" w:hAnsi="Arial" w:cs="Arial"/>
                <w:szCs w:val="22"/>
              </w:rPr>
              <w:t xml:space="preserve"> we will focus on achieving improvements for our customers and supporting them with sharing information and knowledge, as well as reductions in our own costs through a coherent, affordable programme of ICT development which aligns with our overall priorities</w:t>
            </w:r>
          </w:p>
        </w:tc>
        <w:tc>
          <w:tcPr>
            <w:tcW w:w="4870" w:type="dxa"/>
            <w:shd w:val="clear" w:color="auto" w:fill="auto"/>
          </w:tcPr>
          <w:p w:rsidR="00863BDD" w:rsidRPr="00863BDD" w:rsidRDefault="00863BDD" w:rsidP="00863BDD">
            <w:pPr>
              <w:pStyle w:val="MainText"/>
              <w:rPr>
                <w:rFonts w:ascii="Arial" w:hAnsi="Arial" w:cs="Arial"/>
                <w:szCs w:val="22"/>
              </w:rPr>
            </w:pPr>
            <w:r w:rsidRPr="00863BDD">
              <w:rPr>
                <w:rFonts w:ascii="Arial" w:hAnsi="Arial" w:cs="Arial"/>
                <w:szCs w:val="22"/>
              </w:rPr>
              <w:t>• New ICT strategy agreed September</w:t>
            </w:r>
          </w:p>
          <w:p w:rsidR="00863BDD" w:rsidRPr="00863BDD" w:rsidRDefault="00863BDD" w:rsidP="00863BDD">
            <w:pPr>
              <w:pStyle w:val="MainText"/>
              <w:rPr>
                <w:rFonts w:ascii="Arial" w:hAnsi="Arial" w:cs="Arial"/>
                <w:szCs w:val="22"/>
              </w:rPr>
            </w:pPr>
            <w:r w:rsidRPr="00863BDD">
              <w:rPr>
                <w:rFonts w:ascii="Arial" w:hAnsi="Arial" w:cs="Arial"/>
                <w:szCs w:val="22"/>
              </w:rPr>
              <w:t>• Committee Management and Events Management Systems now implemented</w:t>
            </w:r>
          </w:p>
          <w:p w:rsidR="00863BDD" w:rsidRPr="00863BDD" w:rsidRDefault="00863BDD" w:rsidP="00863BDD">
            <w:pPr>
              <w:pStyle w:val="MainText"/>
              <w:rPr>
                <w:rFonts w:ascii="Arial" w:hAnsi="Arial" w:cs="Arial"/>
                <w:szCs w:val="22"/>
              </w:rPr>
            </w:pPr>
            <w:r w:rsidRPr="00863BDD">
              <w:rPr>
                <w:rFonts w:ascii="Arial" w:hAnsi="Arial" w:cs="Arial"/>
                <w:szCs w:val="22"/>
              </w:rPr>
              <w:t>• SharePoint upgrade now being implemented.</w:t>
            </w:r>
          </w:p>
          <w:p w:rsidR="00863BDD" w:rsidRPr="00863BDD" w:rsidRDefault="00863BDD" w:rsidP="00863BDD">
            <w:pPr>
              <w:pStyle w:val="MainText"/>
              <w:rPr>
                <w:rFonts w:ascii="Arial" w:hAnsi="Arial" w:cs="Arial"/>
                <w:szCs w:val="22"/>
              </w:rPr>
            </w:pPr>
            <w:r w:rsidRPr="00863BDD">
              <w:rPr>
                <w:rFonts w:ascii="Arial" w:hAnsi="Arial" w:cs="Arial"/>
                <w:szCs w:val="22"/>
              </w:rPr>
              <w:t>• Major service outage in June resulted in remedial action by Liberata</w:t>
            </w:r>
          </w:p>
          <w:p w:rsidR="0050334C" w:rsidRPr="0050334C" w:rsidRDefault="00863BDD" w:rsidP="00863BDD">
            <w:pPr>
              <w:pStyle w:val="MainText"/>
              <w:rPr>
                <w:rFonts w:ascii="Arial" w:hAnsi="Arial" w:cs="Arial"/>
                <w:szCs w:val="22"/>
              </w:rPr>
            </w:pPr>
            <w:r w:rsidRPr="00863BDD">
              <w:rPr>
                <w:rFonts w:ascii="Arial" w:hAnsi="Arial" w:cs="Arial"/>
                <w:szCs w:val="22"/>
              </w:rPr>
              <w:t>• Major service outage in June resulted in remedial action by Liberata</w:t>
            </w:r>
          </w:p>
        </w:tc>
      </w:tr>
    </w:tbl>
    <w:p w:rsidR="0011628E" w:rsidRDefault="0011628E" w:rsidP="000B5ADF">
      <w:pPr>
        <w:pStyle w:val="MainText"/>
        <w:spacing w:line="240" w:lineRule="auto"/>
        <w:rPr>
          <w:rFonts w:ascii="Arial" w:hAnsi="Arial" w:cs="Arial"/>
          <w:szCs w:val="22"/>
        </w:rPr>
      </w:pPr>
    </w:p>
    <w:p w:rsidR="0033241D" w:rsidRDefault="0033241D" w:rsidP="00297C14">
      <w:pPr>
        <w:pStyle w:val="MainText"/>
        <w:spacing w:line="240" w:lineRule="auto"/>
        <w:rPr>
          <w:rFonts w:ascii="Arial" w:hAnsi="Arial" w:cs="Arial"/>
          <w:b/>
          <w:szCs w:val="22"/>
        </w:rPr>
      </w:pPr>
    </w:p>
    <w:p w:rsidR="00CB2DEB" w:rsidRPr="00B756D3" w:rsidRDefault="00297C14" w:rsidP="00297C14">
      <w:pPr>
        <w:pStyle w:val="MainText"/>
        <w:spacing w:line="240" w:lineRule="auto"/>
        <w:rPr>
          <w:rFonts w:ascii="Arial" w:hAnsi="Arial" w:cs="Arial"/>
          <w:szCs w:val="22"/>
        </w:rPr>
      </w:pPr>
      <w:r w:rsidRPr="009F7169">
        <w:rPr>
          <w:rFonts w:ascii="Arial" w:hAnsi="Arial" w:cs="Arial"/>
          <w:b/>
          <w:szCs w:val="22"/>
        </w:rPr>
        <w:t>F</w:t>
      </w:r>
      <w:r w:rsidR="00CB2DEB" w:rsidRPr="009F7169">
        <w:rPr>
          <w:rFonts w:ascii="Arial" w:hAnsi="Arial" w:cs="Arial"/>
          <w:b/>
          <w:szCs w:val="22"/>
        </w:rPr>
        <w:t>inancial Performance</w:t>
      </w:r>
    </w:p>
    <w:p w:rsidR="00CB2DEB" w:rsidRPr="009F530F" w:rsidRDefault="00CB2DEB" w:rsidP="00CB2DEB">
      <w:pPr>
        <w:pStyle w:val="MainText"/>
        <w:spacing w:line="240" w:lineRule="auto"/>
        <w:rPr>
          <w:rFonts w:ascii="Arial" w:hAnsi="Arial" w:cs="Arial"/>
          <w:szCs w:val="22"/>
        </w:rPr>
      </w:pPr>
    </w:p>
    <w:p w:rsidR="002E3A0E" w:rsidRPr="006E00D3" w:rsidRDefault="0050334C" w:rsidP="002E3A0E">
      <w:pPr>
        <w:pStyle w:val="ListParagraph"/>
        <w:numPr>
          <w:ilvl w:val="0"/>
          <w:numId w:val="22"/>
        </w:numPr>
        <w:rPr>
          <w:rFonts w:ascii="Arial" w:hAnsi="Arial" w:cs="Arial"/>
          <w:szCs w:val="22"/>
        </w:rPr>
      </w:pPr>
      <w:r w:rsidRPr="006E00D3">
        <w:rPr>
          <w:rFonts w:ascii="Arial" w:hAnsi="Arial" w:cs="Arial"/>
          <w:sz w:val="22"/>
          <w:szCs w:val="22"/>
        </w:rPr>
        <w:t xml:space="preserve">The management accounts to the end of </w:t>
      </w:r>
      <w:r w:rsidR="00863BDD" w:rsidRPr="006E00D3">
        <w:rPr>
          <w:rFonts w:ascii="Arial" w:hAnsi="Arial" w:cs="Arial"/>
          <w:sz w:val="22"/>
          <w:szCs w:val="22"/>
        </w:rPr>
        <w:t xml:space="preserve">November </w:t>
      </w:r>
      <w:r w:rsidRPr="006E00D3">
        <w:rPr>
          <w:rFonts w:ascii="Arial" w:hAnsi="Arial" w:cs="Arial"/>
          <w:sz w:val="22"/>
          <w:szCs w:val="22"/>
        </w:rPr>
        <w:t xml:space="preserve">2014 are included at </w:t>
      </w:r>
      <w:r w:rsidRPr="006E00D3">
        <w:rPr>
          <w:rFonts w:ascii="Arial" w:hAnsi="Arial" w:cs="Arial"/>
          <w:b/>
          <w:sz w:val="22"/>
          <w:szCs w:val="22"/>
        </w:rPr>
        <w:t>Appendix B</w:t>
      </w:r>
      <w:r w:rsidR="00B15EA5" w:rsidRPr="006E00D3">
        <w:rPr>
          <w:rFonts w:ascii="Arial" w:hAnsi="Arial" w:cs="Arial"/>
          <w:sz w:val="22"/>
          <w:szCs w:val="22"/>
        </w:rPr>
        <w:t>.</w:t>
      </w:r>
      <w:r w:rsidR="00834ECB" w:rsidRPr="006E00D3">
        <w:rPr>
          <w:rFonts w:ascii="Arial" w:hAnsi="Arial" w:cs="Arial"/>
          <w:sz w:val="22"/>
          <w:szCs w:val="22"/>
        </w:rPr>
        <w:t xml:space="preserve"> </w:t>
      </w:r>
      <w:r w:rsidR="001D39FB" w:rsidRPr="006E00D3">
        <w:rPr>
          <w:rFonts w:ascii="Arial" w:hAnsi="Arial" w:cs="Arial"/>
          <w:sz w:val="22"/>
          <w:szCs w:val="22"/>
        </w:rPr>
        <w:t xml:space="preserve">At this stage, </w:t>
      </w:r>
      <w:r w:rsidR="00F476C6" w:rsidRPr="006E00D3">
        <w:rPr>
          <w:rFonts w:ascii="Arial" w:hAnsi="Arial" w:cs="Arial"/>
          <w:sz w:val="22"/>
          <w:szCs w:val="22"/>
        </w:rPr>
        <w:t>an under</w:t>
      </w:r>
      <w:r w:rsidR="00085325" w:rsidRPr="006E00D3">
        <w:rPr>
          <w:rFonts w:ascii="Arial" w:hAnsi="Arial" w:cs="Arial"/>
          <w:sz w:val="22"/>
          <w:szCs w:val="22"/>
        </w:rPr>
        <w:t xml:space="preserve"> </w:t>
      </w:r>
      <w:r w:rsidR="00EB6F58" w:rsidRPr="006E00D3">
        <w:rPr>
          <w:rFonts w:ascii="Arial" w:hAnsi="Arial" w:cs="Arial"/>
          <w:sz w:val="22"/>
          <w:szCs w:val="22"/>
        </w:rPr>
        <w:t>spend of £</w:t>
      </w:r>
      <w:r w:rsidR="006E00D3">
        <w:rPr>
          <w:rFonts w:ascii="Arial" w:hAnsi="Arial" w:cs="Arial"/>
          <w:sz w:val="22"/>
          <w:szCs w:val="22"/>
        </w:rPr>
        <w:t>1,300</w:t>
      </w:r>
      <w:r w:rsidR="00F476C6" w:rsidRPr="006E00D3">
        <w:rPr>
          <w:rFonts w:ascii="Arial" w:hAnsi="Arial" w:cs="Arial"/>
          <w:sz w:val="22"/>
          <w:szCs w:val="22"/>
        </w:rPr>
        <w:t>k is projected for the year</w:t>
      </w:r>
      <w:r w:rsidR="001D39FB" w:rsidRPr="006E00D3">
        <w:rPr>
          <w:rFonts w:ascii="Arial" w:hAnsi="Arial" w:cs="Arial"/>
          <w:sz w:val="22"/>
          <w:szCs w:val="22"/>
        </w:rPr>
        <w:t>.</w:t>
      </w:r>
      <w:r w:rsidR="00F476C6" w:rsidRPr="006E00D3">
        <w:rPr>
          <w:rFonts w:ascii="Arial" w:hAnsi="Arial" w:cs="Arial"/>
          <w:sz w:val="22"/>
          <w:szCs w:val="22"/>
        </w:rPr>
        <w:t xml:space="preserve"> </w:t>
      </w:r>
      <w:r w:rsidR="006E00D3">
        <w:rPr>
          <w:rFonts w:ascii="Arial" w:hAnsi="Arial" w:cs="Arial"/>
          <w:sz w:val="22"/>
          <w:szCs w:val="22"/>
        </w:rPr>
        <w:t>This is due to:</w:t>
      </w:r>
    </w:p>
    <w:p w:rsidR="006E00D3" w:rsidRDefault="006E00D3" w:rsidP="006E00D3">
      <w:pPr>
        <w:rPr>
          <w:rFonts w:ascii="Arial" w:hAnsi="Arial" w:cs="Arial"/>
          <w:szCs w:val="22"/>
        </w:rPr>
      </w:pPr>
    </w:p>
    <w:p w:rsidR="006E00D3" w:rsidRDefault="006E00D3" w:rsidP="006E00D3">
      <w:pPr>
        <w:ind w:left="1440" w:hanging="760"/>
        <w:rPr>
          <w:rFonts w:ascii="Arial" w:hAnsi="Arial" w:cs="Arial"/>
          <w:sz w:val="22"/>
          <w:szCs w:val="22"/>
        </w:rPr>
      </w:pPr>
      <w:r w:rsidRPr="006E00D3">
        <w:rPr>
          <w:rFonts w:ascii="Arial" w:hAnsi="Arial" w:cs="Arial"/>
          <w:sz w:val="22"/>
          <w:szCs w:val="22"/>
        </w:rPr>
        <w:t>7.1</w:t>
      </w:r>
      <w:r w:rsidRPr="006E00D3">
        <w:rPr>
          <w:rFonts w:ascii="Arial" w:hAnsi="Arial" w:cs="Arial"/>
          <w:sz w:val="22"/>
          <w:szCs w:val="22"/>
        </w:rPr>
        <w:tab/>
      </w:r>
      <w:r>
        <w:rPr>
          <w:rFonts w:ascii="Arial" w:hAnsi="Arial" w:cs="Arial"/>
          <w:sz w:val="22"/>
          <w:szCs w:val="22"/>
        </w:rPr>
        <w:t>A p</w:t>
      </w:r>
      <w:r w:rsidRPr="006E00D3">
        <w:rPr>
          <w:rFonts w:ascii="Arial" w:hAnsi="Arial" w:cs="Arial"/>
          <w:sz w:val="22"/>
          <w:szCs w:val="22"/>
        </w:rPr>
        <w:t>rojected underspend</w:t>
      </w:r>
      <w:r>
        <w:rPr>
          <w:rFonts w:ascii="Arial" w:hAnsi="Arial" w:cs="Arial"/>
          <w:sz w:val="22"/>
          <w:szCs w:val="22"/>
        </w:rPr>
        <w:t xml:space="preserve"> in the region of £380k against operational budgets</w:t>
      </w:r>
    </w:p>
    <w:p w:rsidR="006E00D3" w:rsidRDefault="006E00D3" w:rsidP="006E00D3">
      <w:pPr>
        <w:ind w:left="1440" w:hanging="760"/>
        <w:rPr>
          <w:rFonts w:ascii="Arial" w:hAnsi="Arial" w:cs="Arial"/>
          <w:sz w:val="22"/>
          <w:szCs w:val="22"/>
        </w:rPr>
      </w:pPr>
    </w:p>
    <w:p w:rsidR="006E00D3" w:rsidRDefault="006E00D3" w:rsidP="006E00D3">
      <w:pPr>
        <w:ind w:left="1440" w:hanging="760"/>
        <w:rPr>
          <w:rFonts w:ascii="Arial" w:hAnsi="Arial" w:cs="Arial"/>
          <w:sz w:val="22"/>
          <w:szCs w:val="22"/>
        </w:rPr>
      </w:pPr>
      <w:r>
        <w:rPr>
          <w:rFonts w:ascii="Arial" w:hAnsi="Arial" w:cs="Arial"/>
          <w:sz w:val="22"/>
          <w:szCs w:val="22"/>
        </w:rPr>
        <w:t>7.2</w:t>
      </w:r>
      <w:r>
        <w:rPr>
          <w:rFonts w:ascii="Arial" w:hAnsi="Arial" w:cs="Arial"/>
          <w:sz w:val="22"/>
          <w:szCs w:val="22"/>
        </w:rPr>
        <w:tab/>
        <w:t>Higher than budgeted income of £370k in operational areas</w:t>
      </w:r>
    </w:p>
    <w:p w:rsidR="006E00D3" w:rsidRDefault="006E00D3" w:rsidP="006E00D3">
      <w:pPr>
        <w:ind w:left="1440" w:hanging="760"/>
        <w:rPr>
          <w:rFonts w:ascii="Arial" w:hAnsi="Arial" w:cs="Arial"/>
          <w:sz w:val="22"/>
          <w:szCs w:val="22"/>
        </w:rPr>
      </w:pPr>
    </w:p>
    <w:p w:rsidR="006E00D3" w:rsidRPr="00075EE8" w:rsidRDefault="006E00D3" w:rsidP="006E00D3">
      <w:pPr>
        <w:ind w:left="1440" w:hanging="760"/>
        <w:rPr>
          <w:rFonts w:ascii="Arial" w:hAnsi="Arial" w:cs="Arial"/>
          <w:sz w:val="22"/>
          <w:szCs w:val="22"/>
          <w:u w:val="single"/>
        </w:rPr>
      </w:pPr>
      <w:r>
        <w:rPr>
          <w:rFonts w:ascii="Arial" w:hAnsi="Arial" w:cs="Arial"/>
          <w:sz w:val="22"/>
          <w:szCs w:val="22"/>
        </w:rPr>
        <w:t>7.3</w:t>
      </w:r>
      <w:r w:rsidR="00A93971">
        <w:rPr>
          <w:rFonts w:ascii="Arial" w:hAnsi="Arial" w:cs="Arial"/>
          <w:sz w:val="22"/>
          <w:szCs w:val="22"/>
        </w:rPr>
        <w:tab/>
        <w:t xml:space="preserve">Additional contribution to overheads of £527k from grant-funded </w:t>
      </w:r>
      <w:r w:rsidR="00A93971" w:rsidRPr="00075EE8">
        <w:rPr>
          <w:rFonts w:ascii="Arial" w:hAnsi="Arial" w:cs="Arial"/>
          <w:sz w:val="22"/>
          <w:szCs w:val="22"/>
          <w:u w:val="single"/>
        </w:rPr>
        <w:t>programmes agreed after the start of the financial year.</w:t>
      </w:r>
    </w:p>
    <w:p w:rsidR="006E00D3" w:rsidRPr="006E00D3" w:rsidRDefault="006E00D3" w:rsidP="006E00D3">
      <w:pPr>
        <w:ind w:left="680"/>
        <w:rPr>
          <w:rFonts w:ascii="Arial" w:hAnsi="Arial" w:cs="Arial"/>
          <w:sz w:val="22"/>
          <w:szCs w:val="22"/>
        </w:rPr>
      </w:pPr>
    </w:p>
    <w:p w:rsidR="002E3A0E" w:rsidRDefault="002E3A0E" w:rsidP="002E3A0E">
      <w:pPr>
        <w:pStyle w:val="MainText"/>
        <w:spacing w:line="240" w:lineRule="auto"/>
        <w:ind w:left="680"/>
        <w:rPr>
          <w:rFonts w:ascii="Arial" w:hAnsi="Arial" w:cs="Arial"/>
          <w:szCs w:val="22"/>
        </w:rPr>
      </w:pPr>
    </w:p>
    <w:p w:rsidR="00CB2DEB" w:rsidRPr="00B756D3" w:rsidRDefault="00CB2DEB" w:rsidP="00862660">
      <w:pPr>
        <w:pStyle w:val="MainText"/>
        <w:spacing w:line="240" w:lineRule="auto"/>
        <w:rPr>
          <w:rFonts w:ascii="Arial" w:hAnsi="Arial" w:cs="Arial"/>
          <w:szCs w:val="22"/>
        </w:rPr>
      </w:pPr>
      <w:r w:rsidRPr="00277DAD">
        <w:rPr>
          <w:rFonts w:ascii="Arial" w:hAnsi="Arial" w:cs="Arial"/>
          <w:b/>
          <w:szCs w:val="22"/>
        </w:rPr>
        <w:t>Corporate Health Indicators</w:t>
      </w:r>
      <w:r w:rsidR="00AB352D">
        <w:rPr>
          <w:rFonts w:ascii="Arial" w:hAnsi="Arial" w:cs="Arial"/>
          <w:b/>
          <w:szCs w:val="22"/>
        </w:rPr>
        <w:t xml:space="preserve"> </w:t>
      </w:r>
    </w:p>
    <w:p w:rsidR="00CB2DEB" w:rsidRPr="00B756D3" w:rsidRDefault="00CB2DEB" w:rsidP="00CB2DEB">
      <w:pPr>
        <w:pStyle w:val="MainText"/>
        <w:spacing w:line="240" w:lineRule="auto"/>
        <w:rPr>
          <w:rFonts w:ascii="Arial" w:hAnsi="Arial" w:cs="Arial"/>
          <w:b/>
          <w:szCs w:val="22"/>
        </w:rPr>
      </w:pPr>
    </w:p>
    <w:p w:rsidR="00B756D3" w:rsidRDefault="00B2329E" w:rsidP="00B756D3">
      <w:pPr>
        <w:numPr>
          <w:ilvl w:val="0"/>
          <w:numId w:val="22"/>
        </w:numPr>
        <w:rPr>
          <w:rFonts w:ascii="Arial" w:hAnsi="Arial" w:cs="Arial"/>
          <w:sz w:val="22"/>
          <w:szCs w:val="22"/>
        </w:rPr>
      </w:pPr>
      <w:r w:rsidRPr="00B756D3">
        <w:rPr>
          <w:rFonts w:ascii="Arial" w:hAnsi="Arial" w:cs="Arial"/>
          <w:sz w:val="22"/>
          <w:szCs w:val="22"/>
        </w:rPr>
        <w:t xml:space="preserve">The </w:t>
      </w:r>
      <w:r w:rsidR="00EB6F58">
        <w:rPr>
          <w:rFonts w:ascii="Arial" w:hAnsi="Arial" w:cs="Arial"/>
          <w:sz w:val="22"/>
          <w:szCs w:val="22"/>
        </w:rPr>
        <w:t>first nine</w:t>
      </w:r>
      <w:r w:rsidR="00834ECB">
        <w:rPr>
          <w:rFonts w:ascii="Arial" w:hAnsi="Arial" w:cs="Arial"/>
          <w:sz w:val="22"/>
          <w:szCs w:val="22"/>
        </w:rPr>
        <w:t xml:space="preserve"> months</w:t>
      </w:r>
      <w:r w:rsidR="00CB2DEB" w:rsidRPr="00B756D3">
        <w:rPr>
          <w:rFonts w:ascii="Arial" w:hAnsi="Arial" w:cs="Arial"/>
          <w:sz w:val="22"/>
          <w:szCs w:val="22"/>
        </w:rPr>
        <w:t xml:space="preserve"> report on the LGA’s Corporate Health Indicators is presented at </w:t>
      </w:r>
      <w:r w:rsidR="00CB2DEB" w:rsidRPr="00B756D3">
        <w:rPr>
          <w:rFonts w:ascii="Arial" w:hAnsi="Arial" w:cs="Arial"/>
          <w:b/>
          <w:sz w:val="22"/>
          <w:szCs w:val="22"/>
          <w:u w:val="single"/>
        </w:rPr>
        <w:t xml:space="preserve">Appendix </w:t>
      </w:r>
      <w:r w:rsidR="001D39FB">
        <w:rPr>
          <w:rFonts w:ascii="Arial" w:hAnsi="Arial" w:cs="Arial"/>
          <w:b/>
          <w:sz w:val="22"/>
          <w:szCs w:val="22"/>
          <w:u w:val="single"/>
        </w:rPr>
        <w:t>C</w:t>
      </w:r>
      <w:r w:rsidR="00094BA7">
        <w:rPr>
          <w:rFonts w:ascii="Arial" w:hAnsi="Arial" w:cs="Arial"/>
          <w:sz w:val="22"/>
          <w:szCs w:val="22"/>
        </w:rPr>
        <w:t>. Key issues are</w:t>
      </w:r>
      <w:r w:rsidR="00CB2DEB" w:rsidRPr="00B756D3">
        <w:rPr>
          <w:rFonts w:ascii="Arial" w:hAnsi="Arial" w:cs="Arial"/>
          <w:sz w:val="22"/>
          <w:szCs w:val="22"/>
        </w:rPr>
        <w:t>:</w:t>
      </w:r>
    </w:p>
    <w:p w:rsidR="00B756D3" w:rsidRDefault="00B756D3" w:rsidP="00B756D3">
      <w:pPr>
        <w:ind w:left="680"/>
        <w:rPr>
          <w:rFonts w:ascii="Arial" w:hAnsi="Arial" w:cs="Arial"/>
          <w:sz w:val="22"/>
          <w:szCs w:val="22"/>
        </w:rPr>
      </w:pPr>
    </w:p>
    <w:p w:rsidR="00050898" w:rsidRPr="00D44864" w:rsidRDefault="00CC319B" w:rsidP="00050898">
      <w:pPr>
        <w:numPr>
          <w:ilvl w:val="1"/>
          <w:numId w:val="22"/>
        </w:numPr>
        <w:rPr>
          <w:rFonts w:ascii="Arial" w:hAnsi="Arial" w:cs="Arial"/>
          <w:sz w:val="22"/>
          <w:szCs w:val="22"/>
        </w:rPr>
      </w:pPr>
      <w:r w:rsidRPr="002E3A0E">
        <w:rPr>
          <w:rFonts w:ascii="Arial" w:hAnsi="Arial" w:cs="Arial"/>
          <w:b/>
          <w:sz w:val="22"/>
          <w:szCs w:val="22"/>
        </w:rPr>
        <w:t>Membership</w:t>
      </w:r>
      <w:r w:rsidRPr="002E3A0E">
        <w:rPr>
          <w:rFonts w:ascii="Arial" w:hAnsi="Arial" w:cs="Arial"/>
          <w:sz w:val="22"/>
          <w:szCs w:val="22"/>
        </w:rPr>
        <w:t xml:space="preserve"> - t</w:t>
      </w:r>
      <w:r w:rsidR="00CB2DEB" w:rsidRPr="002E3A0E">
        <w:rPr>
          <w:rFonts w:ascii="Arial" w:hAnsi="Arial" w:cs="Arial"/>
          <w:sz w:val="22"/>
          <w:szCs w:val="22"/>
        </w:rPr>
        <w:t xml:space="preserve">he number of authorities </w:t>
      </w:r>
      <w:r w:rsidRPr="002E3A0E">
        <w:rPr>
          <w:rFonts w:ascii="Arial" w:hAnsi="Arial" w:cs="Arial"/>
          <w:sz w:val="22"/>
          <w:szCs w:val="22"/>
        </w:rPr>
        <w:t>out of memb</w:t>
      </w:r>
      <w:r w:rsidR="009979FD" w:rsidRPr="002E3A0E">
        <w:rPr>
          <w:rFonts w:ascii="Arial" w:hAnsi="Arial" w:cs="Arial"/>
          <w:sz w:val="22"/>
          <w:szCs w:val="22"/>
        </w:rPr>
        <w:t xml:space="preserve">ership has been </w:t>
      </w:r>
      <w:r w:rsidR="009979FD" w:rsidRPr="00D44864">
        <w:rPr>
          <w:rFonts w:ascii="Arial" w:hAnsi="Arial" w:cs="Arial"/>
          <w:sz w:val="22"/>
          <w:szCs w:val="22"/>
        </w:rPr>
        <w:t>maintained at 2</w:t>
      </w:r>
      <w:r w:rsidR="00C706FE">
        <w:rPr>
          <w:rFonts w:ascii="Arial" w:hAnsi="Arial" w:cs="Arial"/>
          <w:sz w:val="22"/>
          <w:szCs w:val="22"/>
        </w:rPr>
        <w:t>, although 12</w:t>
      </w:r>
      <w:r w:rsidR="00F476C6">
        <w:rPr>
          <w:rFonts w:ascii="Arial" w:hAnsi="Arial" w:cs="Arial"/>
          <w:sz w:val="22"/>
          <w:szCs w:val="22"/>
        </w:rPr>
        <w:t xml:space="preserve"> councils are currently on notice to leave in April 2015</w:t>
      </w:r>
      <w:r w:rsidR="009979FD" w:rsidRPr="00D44864">
        <w:rPr>
          <w:rFonts w:ascii="Arial" w:hAnsi="Arial" w:cs="Arial"/>
          <w:sz w:val="22"/>
          <w:szCs w:val="22"/>
        </w:rPr>
        <w:t xml:space="preserve">. </w:t>
      </w:r>
      <w:r w:rsidR="00F476C6">
        <w:rPr>
          <w:rFonts w:ascii="Arial" w:hAnsi="Arial" w:cs="Arial"/>
          <w:sz w:val="22"/>
          <w:szCs w:val="22"/>
        </w:rPr>
        <w:t>All member subscriptions for 2014/15 have now been collected.</w:t>
      </w:r>
    </w:p>
    <w:p w:rsidR="00055BD7" w:rsidRPr="00F476C6" w:rsidRDefault="00055BD7" w:rsidP="00F476C6">
      <w:pPr>
        <w:rPr>
          <w:rFonts w:ascii="Arial" w:hAnsi="Arial" w:cs="Arial"/>
          <w:b/>
          <w:sz w:val="22"/>
          <w:szCs w:val="22"/>
        </w:rPr>
      </w:pPr>
    </w:p>
    <w:p w:rsidR="00C35B5C" w:rsidRDefault="00CC319B" w:rsidP="00C35B5C">
      <w:pPr>
        <w:numPr>
          <w:ilvl w:val="1"/>
          <w:numId w:val="22"/>
        </w:numPr>
        <w:rPr>
          <w:rFonts w:ascii="Arial" w:hAnsi="Arial" w:cs="Arial"/>
          <w:sz w:val="22"/>
          <w:szCs w:val="22"/>
        </w:rPr>
      </w:pPr>
      <w:r w:rsidRPr="00B756D3">
        <w:rPr>
          <w:rFonts w:ascii="Arial" w:hAnsi="Arial" w:cs="Arial"/>
          <w:b/>
          <w:sz w:val="22"/>
          <w:szCs w:val="22"/>
        </w:rPr>
        <w:t xml:space="preserve">Financial sustainability </w:t>
      </w:r>
      <w:r w:rsidRPr="00AC2A97">
        <w:rPr>
          <w:rFonts w:ascii="Arial" w:hAnsi="Arial" w:cs="Arial"/>
          <w:sz w:val="22"/>
          <w:szCs w:val="22"/>
        </w:rPr>
        <w:t>-</w:t>
      </w:r>
      <w:r w:rsidRPr="00B756D3">
        <w:rPr>
          <w:rFonts w:ascii="Arial" w:hAnsi="Arial" w:cs="Arial"/>
          <w:sz w:val="22"/>
          <w:szCs w:val="22"/>
        </w:rPr>
        <w:t xml:space="preserve"> </w:t>
      </w:r>
      <w:r w:rsidR="00F476C6">
        <w:rPr>
          <w:rFonts w:ascii="Arial" w:hAnsi="Arial" w:cs="Arial"/>
          <w:sz w:val="22"/>
          <w:szCs w:val="22"/>
        </w:rPr>
        <w:t>1% of debts</w:t>
      </w:r>
      <w:r w:rsidR="00C706FE">
        <w:rPr>
          <w:rFonts w:ascii="Arial" w:hAnsi="Arial" w:cs="Arial"/>
          <w:sz w:val="22"/>
          <w:szCs w:val="22"/>
        </w:rPr>
        <w:t xml:space="preserve"> are over 12 months old, with 85</w:t>
      </w:r>
      <w:r w:rsidR="00F476C6">
        <w:rPr>
          <w:rFonts w:ascii="Arial" w:hAnsi="Arial" w:cs="Arial"/>
          <w:sz w:val="22"/>
          <w:szCs w:val="22"/>
        </w:rPr>
        <w:t xml:space="preserve">% </w:t>
      </w:r>
      <w:r w:rsidR="00C706FE">
        <w:rPr>
          <w:rFonts w:ascii="Arial" w:hAnsi="Arial" w:cs="Arial"/>
          <w:sz w:val="22"/>
          <w:szCs w:val="22"/>
        </w:rPr>
        <w:t xml:space="preserve">of debts between 0-2 months old, </w:t>
      </w:r>
      <w:r w:rsidR="001D04EB">
        <w:rPr>
          <w:rFonts w:ascii="Arial" w:hAnsi="Arial" w:cs="Arial"/>
          <w:sz w:val="22"/>
          <w:szCs w:val="22"/>
        </w:rPr>
        <w:t>and 14% of debts</w:t>
      </w:r>
      <w:r w:rsidR="00C706FE">
        <w:rPr>
          <w:rFonts w:ascii="Arial" w:hAnsi="Arial" w:cs="Arial"/>
          <w:sz w:val="22"/>
          <w:szCs w:val="22"/>
        </w:rPr>
        <w:t xml:space="preserve"> between 3-12 months.</w:t>
      </w:r>
      <w:bookmarkStart w:id="0" w:name="_GoBack"/>
      <w:bookmarkEnd w:id="0"/>
    </w:p>
    <w:p w:rsidR="00C35B5C" w:rsidRDefault="00C35B5C" w:rsidP="00C35B5C">
      <w:pPr>
        <w:pStyle w:val="ListParagraph"/>
        <w:rPr>
          <w:rFonts w:ascii="Arial" w:hAnsi="Arial" w:cs="Arial"/>
          <w:b/>
          <w:sz w:val="22"/>
          <w:szCs w:val="22"/>
        </w:rPr>
      </w:pPr>
    </w:p>
    <w:p w:rsidR="00AC2A97" w:rsidRPr="00C35B5C" w:rsidRDefault="00AC2A97" w:rsidP="00C35B5C">
      <w:pPr>
        <w:numPr>
          <w:ilvl w:val="1"/>
          <w:numId w:val="22"/>
        </w:numPr>
        <w:rPr>
          <w:rFonts w:ascii="Arial" w:hAnsi="Arial" w:cs="Arial"/>
          <w:sz w:val="22"/>
          <w:szCs w:val="22"/>
        </w:rPr>
      </w:pPr>
      <w:r w:rsidRPr="00C35B5C">
        <w:rPr>
          <w:rFonts w:ascii="Arial" w:hAnsi="Arial" w:cs="Arial"/>
          <w:b/>
          <w:sz w:val="22"/>
          <w:szCs w:val="22"/>
        </w:rPr>
        <w:t>People Management</w:t>
      </w:r>
      <w:r w:rsidRPr="00C35B5C">
        <w:rPr>
          <w:rFonts w:ascii="Arial" w:hAnsi="Arial" w:cs="Arial"/>
          <w:sz w:val="22"/>
          <w:szCs w:val="22"/>
        </w:rPr>
        <w:t xml:space="preserve"> – average annual s</w:t>
      </w:r>
      <w:r w:rsidR="00C706FE" w:rsidRPr="00C35B5C">
        <w:rPr>
          <w:rFonts w:ascii="Arial" w:hAnsi="Arial" w:cs="Arial"/>
          <w:sz w:val="22"/>
          <w:szCs w:val="22"/>
        </w:rPr>
        <w:t xml:space="preserve">ickness has decreased slightly over the last 6 months </w:t>
      </w:r>
      <w:r w:rsidRPr="00C35B5C">
        <w:rPr>
          <w:rFonts w:ascii="Arial" w:hAnsi="Arial" w:cs="Arial"/>
          <w:sz w:val="22"/>
          <w:szCs w:val="22"/>
        </w:rPr>
        <w:t xml:space="preserve">from </w:t>
      </w:r>
      <w:r w:rsidR="00C706FE" w:rsidRPr="00C35B5C">
        <w:rPr>
          <w:rFonts w:ascii="Arial" w:hAnsi="Arial" w:cs="Arial"/>
          <w:sz w:val="22"/>
          <w:szCs w:val="22"/>
        </w:rPr>
        <w:t>3.15 days to 2.1</w:t>
      </w:r>
      <w:r w:rsidRPr="00C35B5C">
        <w:rPr>
          <w:rFonts w:ascii="Arial" w:hAnsi="Arial" w:cs="Arial"/>
          <w:sz w:val="22"/>
          <w:szCs w:val="22"/>
        </w:rPr>
        <w:t xml:space="preserve"> days. </w:t>
      </w:r>
    </w:p>
    <w:p w:rsidR="00C35B5C" w:rsidRDefault="00C35B5C" w:rsidP="00C35B5C">
      <w:pPr>
        <w:pStyle w:val="ListParagraph"/>
        <w:rPr>
          <w:rFonts w:ascii="Arial" w:hAnsi="Arial" w:cs="Arial"/>
          <w:b/>
          <w:sz w:val="22"/>
          <w:szCs w:val="22"/>
        </w:rPr>
      </w:pPr>
    </w:p>
    <w:p w:rsidR="00C35B5C" w:rsidRPr="00C35B5C" w:rsidRDefault="00C35B5C" w:rsidP="00C35B5C">
      <w:pPr>
        <w:ind w:left="1361"/>
        <w:rPr>
          <w:rFonts w:ascii="Arial" w:hAnsi="Arial" w:cs="Arial"/>
          <w:b/>
          <w:sz w:val="22"/>
          <w:szCs w:val="22"/>
        </w:rPr>
      </w:pPr>
    </w:p>
    <w:p w:rsidR="00094BA7" w:rsidRDefault="00094BA7" w:rsidP="00A959A2">
      <w:pPr>
        <w:numPr>
          <w:ilvl w:val="1"/>
          <w:numId w:val="22"/>
        </w:numPr>
        <w:rPr>
          <w:rFonts w:ascii="Arial" w:hAnsi="Arial" w:cs="Arial"/>
          <w:sz w:val="22"/>
          <w:szCs w:val="22"/>
        </w:rPr>
      </w:pPr>
      <w:r w:rsidRPr="00AC0BE6">
        <w:rPr>
          <w:rFonts w:ascii="Arial" w:hAnsi="Arial" w:cs="Arial"/>
          <w:b/>
          <w:sz w:val="22"/>
          <w:szCs w:val="22"/>
        </w:rPr>
        <w:t>Employee survey</w:t>
      </w:r>
      <w:r>
        <w:rPr>
          <w:rFonts w:ascii="Arial" w:hAnsi="Arial" w:cs="Arial"/>
          <w:sz w:val="22"/>
          <w:szCs w:val="22"/>
        </w:rPr>
        <w:t xml:space="preserve"> – the annual employee survey</w:t>
      </w:r>
      <w:r w:rsidR="00F476C6">
        <w:rPr>
          <w:rFonts w:ascii="Arial" w:hAnsi="Arial" w:cs="Arial"/>
          <w:sz w:val="22"/>
          <w:szCs w:val="22"/>
        </w:rPr>
        <w:t xml:space="preserve"> took place in June 2014. T</w:t>
      </w:r>
      <w:r w:rsidR="00AC2A97">
        <w:rPr>
          <w:rFonts w:ascii="Arial" w:hAnsi="Arial" w:cs="Arial"/>
          <w:sz w:val="22"/>
          <w:szCs w:val="22"/>
        </w:rPr>
        <w:t xml:space="preserve">he results </w:t>
      </w:r>
      <w:r w:rsidR="007C6AA0">
        <w:rPr>
          <w:rFonts w:ascii="Arial" w:hAnsi="Arial" w:cs="Arial"/>
          <w:sz w:val="22"/>
          <w:szCs w:val="22"/>
        </w:rPr>
        <w:t>in all areas are consistently higher in all areas than the previous year</w:t>
      </w:r>
      <w:r w:rsidR="00F476C6">
        <w:rPr>
          <w:rFonts w:ascii="Arial" w:hAnsi="Arial" w:cs="Arial"/>
          <w:sz w:val="22"/>
          <w:szCs w:val="22"/>
        </w:rPr>
        <w:t xml:space="preserve">. </w:t>
      </w:r>
    </w:p>
    <w:p w:rsidR="0081033D" w:rsidRDefault="0081033D" w:rsidP="001E0AF7">
      <w:pPr>
        <w:pStyle w:val="MainText"/>
        <w:spacing w:line="240" w:lineRule="auto"/>
        <w:rPr>
          <w:rFonts w:ascii="Arial" w:hAnsi="Arial" w:cs="Arial"/>
          <w:szCs w:val="22"/>
        </w:rPr>
      </w:pPr>
    </w:p>
    <w:p w:rsidR="00C02ADF" w:rsidRPr="00C02ADF" w:rsidRDefault="00C02ADF" w:rsidP="001E0AF7">
      <w:pPr>
        <w:pStyle w:val="MainText"/>
        <w:spacing w:line="240" w:lineRule="auto"/>
        <w:rPr>
          <w:rFonts w:ascii="Arial" w:hAnsi="Arial" w:cs="Arial"/>
          <w:b/>
          <w:szCs w:val="22"/>
        </w:rPr>
      </w:pPr>
      <w:r w:rsidRPr="00C02ADF">
        <w:rPr>
          <w:rFonts w:ascii="Arial" w:hAnsi="Arial" w:cs="Arial"/>
          <w:b/>
          <w:szCs w:val="22"/>
        </w:rPr>
        <w:t>Risk Register</w:t>
      </w:r>
    </w:p>
    <w:p w:rsidR="00C02ADF" w:rsidRDefault="00C02ADF" w:rsidP="001E0AF7">
      <w:pPr>
        <w:pStyle w:val="MainText"/>
        <w:spacing w:line="240" w:lineRule="auto"/>
        <w:rPr>
          <w:rFonts w:ascii="Arial" w:hAnsi="Arial" w:cs="Arial"/>
          <w:szCs w:val="22"/>
        </w:rPr>
      </w:pPr>
    </w:p>
    <w:p w:rsidR="00C02ADF" w:rsidRPr="00C02ADF" w:rsidRDefault="00C02ADF" w:rsidP="00C02ADF">
      <w:pPr>
        <w:pStyle w:val="ListParagraph"/>
        <w:numPr>
          <w:ilvl w:val="0"/>
          <w:numId w:val="22"/>
        </w:numPr>
        <w:rPr>
          <w:rFonts w:ascii="Arial" w:hAnsi="Arial" w:cs="Arial"/>
          <w:sz w:val="22"/>
          <w:szCs w:val="22"/>
        </w:rPr>
      </w:pPr>
      <w:r w:rsidRPr="00C02ADF">
        <w:rPr>
          <w:rFonts w:ascii="Arial" w:hAnsi="Arial" w:cs="Arial"/>
          <w:sz w:val="22"/>
          <w:szCs w:val="22"/>
        </w:rPr>
        <w:t>A quarterly risk report is presented</w:t>
      </w:r>
      <w:r w:rsidR="00075EE8">
        <w:rPr>
          <w:rFonts w:ascii="Arial" w:hAnsi="Arial" w:cs="Arial"/>
          <w:sz w:val="22"/>
          <w:szCs w:val="22"/>
        </w:rPr>
        <w:t xml:space="preserve"> at </w:t>
      </w:r>
      <w:r w:rsidR="00075EE8" w:rsidRPr="00075EE8">
        <w:rPr>
          <w:rFonts w:ascii="Arial" w:hAnsi="Arial" w:cs="Arial"/>
          <w:b/>
          <w:sz w:val="22"/>
          <w:szCs w:val="22"/>
          <w:u w:val="single"/>
        </w:rPr>
        <w:t>Appendix D</w:t>
      </w:r>
      <w:r w:rsidRPr="00C02ADF">
        <w:rPr>
          <w:rFonts w:ascii="Arial" w:hAnsi="Arial" w:cs="Arial"/>
          <w:sz w:val="22"/>
          <w:szCs w:val="22"/>
        </w:rPr>
        <w:t>, reflecting the revised risk management policy signed off by SMT in March 2014, in which it was agreed that projects designated as high risk would be reviewed on a quarterly basis by SMT.</w:t>
      </w:r>
    </w:p>
    <w:p w:rsidR="00C02ADF" w:rsidRPr="00C02ADF" w:rsidRDefault="00C02ADF" w:rsidP="00C02ADF">
      <w:pPr>
        <w:pStyle w:val="ListParagraph"/>
        <w:ind w:left="680"/>
        <w:rPr>
          <w:rFonts w:ascii="Arial" w:hAnsi="Arial" w:cs="Arial"/>
          <w:sz w:val="22"/>
          <w:szCs w:val="22"/>
        </w:rPr>
      </w:pPr>
    </w:p>
    <w:p w:rsidR="00C02ADF" w:rsidRPr="00C02ADF" w:rsidRDefault="00C02ADF" w:rsidP="00C02ADF">
      <w:pPr>
        <w:pStyle w:val="ListParagraph"/>
        <w:numPr>
          <w:ilvl w:val="0"/>
          <w:numId w:val="22"/>
        </w:numPr>
        <w:rPr>
          <w:rFonts w:ascii="Arial" w:hAnsi="Arial" w:cs="Arial"/>
          <w:sz w:val="22"/>
          <w:szCs w:val="22"/>
        </w:rPr>
      </w:pPr>
      <w:r w:rsidRPr="00C02ADF">
        <w:rPr>
          <w:rFonts w:ascii="Arial" w:hAnsi="Arial" w:cs="Arial"/>
          <w:sz w:val="22"/>
          <w:szCs w:val="22"/>
        </w:rPr>
        <w:t>The LGA’s Strategic Risk Register is also presented</w:t>
      </w:r>
      <w:r w:rsidR="00075EE8">
        <w:rPr>
          <w:rFonts w:ascii="Arial" w:hAnsi="Arial" w:cs="Arial"/>
          <w:sz w:val="22"/>
          <w:szCs w:val="22"/>
        </w:rPr>
        <w:t xml:space="preserve"> at </w:t>
      </w:r>
      <w:r w:rsidR="00075EE8" w:rsidRPr="00075EE8">
        <w:rPr>
          <w:rFonts w:ascii="Arial" w:hAnsi="Arial" w:cs="Arial"/>
          <w:b/>
          <w:sz w:val="22"/>
          <w:szCs w:val="22"/>
          <w:u w:val="single"/>
        </w:rPr>
        <w:t>Appendix E</w:t>
      </w:r>
      <w:r w:rsidRPr="00C02ADF">
        <w:rPr>
          <w:rFonts w:ascii="Arial" w:hAnsi="Arial" w:cs="Arial"/>
          <w:sz w:val="22"/>
          <w:szCs w:val="22"/>
        </w:rPr>
        <w:t>. This has been adjusted, in light of a recommendation from internal audit, to align with the priorities set out in the Annual Business Plan.</w:t>
      </w:r>
    </w:p>
    <w:p w:rsidR="00B15B09" w:rsidRPr="0029035F" w:rsidRDefault="00B15B09" w:rsidP="00B15B09">
      <w:pPr>
        <w:ind w:left="680"/>
        <w:rPr>
          <w:rFonts w:ascii="Arial" w:hAnsi="Arial" w:cs="Arial"/>
          <w:sz w:val="22"/>
          <w:szCs w:val="22"/>
        </w:rPr>
      </w:pPr>
    </w:p>
    <w:p w:rsidR="00C02ADF" w:rsidRDefault="00C02ADF">
      <w:pPr>
        <w:rPr>
          <w:rFonts w:ascii="Arial" w:hAnsi="Arial" w:cs="Arial"/>
          <w:b/>
          <w:sz w:val="22"/>
          <w:szCs w:val="22"/>
        </w:rPr>
      </w:pPr>
      <w:r>
        <w:rPr>
          <w:rFonts w:ascii="Arial" w:hAnsi="Arial" w:cs="Arial"/>
          <w:b/>
          <w:szCs w:val="22"/>
        </w:rPr>
        <w:br w:type="page"/>
      </w:r>
    </w:p>
    <w:p w:rsidR="00CB2DEB" w:rsidRPr="00B756D3" w:rsidRDefault="000C1D0A" w:rsidP="00840685">
      <w:pPr>
        <w:pStyle w:val="MainText"/>
        <w:spacing w:line="240" w:lineRule="auto"/>
        <w:rPr>
          <w:rFonts w:ascii="Arial" w:hAnsi="Arial" w:cs="Arial"/>
          <w:szCs w:val="22"/>
        </w:rPr>
      </w:pPr>
      <w:r w:rsidRPr="00B756D3">
        <w:rPr>
          <w:rFonts w:ascii="Arial" w:hAnsi="Arial" w:cs="Arial"/>
          <w:b/>
          <w:szCs w:val="22"/>
        </w:rPr>
        <w:lastRenderedPageBreak/>
        <w:t>Conclusion and n</w:t>
      </w:r>
      <w:r w:rsidR="00CB2DEB" w:rsidRPr="00B756D3">
        <w:rPr>
          <w:rFonts w:ascii="Arial" w:hAnsi="Arial" w:cs="Arial"/>
          <w:b/>
          <w:szCs w:val="22"/>
        </w:rPr>
        <w:t>ext steps</w:t>
      </w:r>
    </w:p>
    <w:p w:rsidR="00CB2DEB" w:rsidRPr="00B756D3" w:rsidRDefault="00CB2DEB" w:rsidP="00CB2DEB">
      <w:pPr>
        <w:pStyle w:val="MainText"/>
        <w:tabs>
          <w:tab w:val="num" w:pos="1920"/>
        </w:tabs>
        <w:spacing w:line="240" w:lineRule="auto"/>
        <w:rPr>
          <w:rFonts w:ascii="Arial" w:hAnsi="Arial" w:cs="Arial"/>
          <w:b/>
          <w:szCs w:val="22"/>
        </w:rPr>
      </w:pPr>
    </w:p>
    <w:p w:rsidR="00B756D3" w:rsidRDefault="00575348" w:rsidP="00B756D3">
      <w:pPr>
        <w:numPr>
          <w:ilvl w:val="0"/>
          <w:numId w:val="22"/>
        </w:numPr>
        <w:rPr>
          <w:rFonts w:ascii="Arial" w:hAnsi="Arial" w:cs="Arial"/>
          <w:sz w:val="22"/>
          <w:szCs w:val="22"/>
        </w:rPr>
      </w:pPr>
      <w:r>
        <w:rPr>
          <w:rFonts w:ascii="Arial" w:hAnsi="Arial" w:cs="Arial"/>
          <w:sz w:val="22"/>
          <w:szCs w:val="22"/>
        </w:rPr>
        <w:t>Leadership Board is</w:t>
      </w:r>
      <w:r w:rsidR="003F7094" w:rsidRPr="00B756D3">
        <w:rPr>
          <w:rFonts w:ascii="Arial" w:hAnsi="Arial" w:cs="Arial"/>
          <w:sz w:val="22"/>
          <w:szCs w:val="22"/>
        </w:rPr>
        <w:t xml:space="preserve"> invited to comment on the LGA’s overall performance in </w:t>
      </w:r>
      <w:r w:rsidR="00055BD7">
        <w:rPr>
          <w:rFonts w:ascii="Arial" w:hAnsi="Arial" w:cs="Arial"/>
          <w:sz w:val="22"/>
          <w:szCs w:val="22"/>
        </w:rPr>
        <w:t>2014/15</w:t>
      </w:r>
      <w:r w:rsidR="00F85271">
        <w:rPr>
          <w:rFonts w:ascii="Arial" w:hAnsi="Arial" w:cs="Arial"/>
          <w:sz w:val="22"/>
          <w:szCs w:val="22"/>
        </w:rPr>
        <w:t>.</w:t>
      </w:r>
    </w:p>
    <w:p w:rsidR="00B756D3" w:rsidRDefault="00B756D3" w:rsidP="00B756D3">
      <w:pPr>
        <w:ind w:left="680"/>
        <w:rPr>
          <w:rFonts w:ascii="Arial" w:hAnsi="Arial" w:cs="Arial"/>
          <w:sz w:val="22"/>
          <w:szCs w:val="22"/>
        </w:rPr>
      </w:pPr>
    </w:p>
    <w:p w:rsidR="00CB2DEB" w:rsidRPr="00B756D3" w:rsidRDefault="00EB6F58" w:rsidP="00B756D3">
      <w:pPr>
        <w:numPr>
          <w:ilvl w:val="0"/>
          <w:numId w:val="22"/>
        </w:numPr>
        <w:rPr>
          <w:rFonts w:ascii="Arial" w:hAnsi="Arial" w:cs="Arial"/>
          <w:sz w:val="22"/>
          <w:szCs w:val="22"/>
        </w:rPr>
      </w:pPr>
      <w:r>
        <w:rPr>
          <w:rFonts w:ascii="Arial" w:hAnsi="Arial" w:cs="Arial"/>
          <w:sz w:val="22"/>
          <w:szCs w:val="22"/>
        </w:rPr>
        <w:t xml:space="preserve">The </w:t>
      </w:r>
      <w:r w:rsidR="00277DAD">
        <w:rPr>
          <w:rFonts w:ascii="Arial" w:hAnsi="Arial" w:cs="Arial"/>
          <w:sz w:val="22"/>
          <w:szCs w:val="22"/>
        </w:rPr>
        <w:t>full year</w:t>
      </w:r>
      <w:r w:rsidR="00055BD7">
        <w:rPr>
          <w:rFonts w:ascii="Arial" w:hAnsi="Arial" w:cs="Arial"/>
          <w:sz w:val="22"/>
          <w:szCs w:val="22"/>
        </w:rPr>
        <w:t xml:space="preserve"> performance report </w:t>
      </w:r>
      <w:r w:rsidR="007C6AA0">
        <w:rPr>
          <w:rFonts w:ascii="Arial" w:hAnsi="Arial" w:cs="Arial"/>
          <w:sz w:val="22"/>
          <w:szCs w:val="22"/>
        </w:rPr>
        <w:t xml:space="preserve">for 2014/15 </w:t>
      </w:r>
      <w:r w:rsidR="00055BD7">
        <w:rPr>
          <w:rFonts w:ascii="Arial" w:hAnsi="Arial" w:cs="Arial"/>
          <w:sz w:val="22"/>
          <w:szCs w:val="22"/>
        </w:rPr>
        <w:t xml:space="preserve">will be presented in </w:t>
      </w:r>
      <w:r>
        <w:rPr>
          <w:rFonts w:ascii="Arial" w:hAnsi="Arial" w:cs="Arial"/>
          <w:sz w:val="22"/>
          <w:szCs w:val="22"/>
        </w:rPr>
        <w:t>April</w:t>
      </w:r>
      <w:r w:rsidR="00DC47A1">
        <w:rPr>
          <w:rFonts w:ascii="Arial" w:hAnsi="Arial" w:cs="Arial"/>
          <w:sz w:val="22"/>
          <w:szCs w:val="22"/>
        </w:rPr>
        <w:t xml:space="preserve"> 2015</w:t>
      </w:r>
      <w:r w:rsidR="00055BD7">
        <w:rPr>
          <w:rFonts w:ascii="Arial" w:hAnsi="Arial" w:cs="Arial"/>
          <w:sz w:val="22"/>
          <w:szCs w:val="22"/>
        </w:rPr>
        <w:t>.</w:t>
      </w:r>
      <w:r w:rsidR="00A73941">
        <w:rPr>
          <w:rFonts w:ascii="Arial" w:hAnsi="Arial" w:cs="Arial"/>
          <w:sz w:val="22"/>
          <w:szCs w:val="22"/>
        </w:rPr>
        <w:t xml:space="preserve"> </w:t>
      </w:r>
    </w:p>
    <w:sectPr w:rsidR="00CB2DEB" w:rsidRPr="00B756D3">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71" w:rsidRDefault="00ED1971">
      <w:r>
        <w:separator/>
      </w:r>
    </w:p>
  </w:endnote>
  <w:endnote w:type="continuationSeparator" w:id="0">
    <w:p w:rsidR="00ED1971" w:rsidRDefault="00ED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Raavi"/>
    <w:charset w:val="00"/>
    <w:family w:val="swiss"/>
    <w:pitch w:val="variable"/>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71" w:rsidRDefault="00ED1971">
      <w:r>
        <w:separator/>
      </w:r>
    </w:p>
  </w:footnote>
  <w:footnote w:type="continuationSeparator" w:id="0">
    <w:p w:rsidR="00ED1971" w:rsidRDefault="00ED1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284"/>
      <w:gridCol w:w="3238"/>
    </w:tblGrid>
    <w:tr w:rsidR="00BA5082" w:rsidRPr="0066328A" w:rsidTr="00706136">
      <w:tc>
        <w:tcPr>
          <w:tcW w:w="5778" w:type="dxa"/>
          <w:vMerge w:val="restart"/>
          <w:shd w:val="clear" w:color="auto" w:fill="auto"/>
        </w:tcPr>
        <w:p w:rsidR="00BA5082" w:rsidRPr="0066328A" w:rsidRDefault="00DE3ADA" w:rsidP="00706136">
          <w:pPr>
            <w:tabs>
              <w:tab w:val="center" w:pos="4153"/>
              <w:tab w:val="right" w:pos="8306"/>
            </w:tabs>
            <w:rPr>
              <w:rFonts w:ascii="Frutiger 45 Light" w:hAnsi="Frutiger 45 Light"/>
              <w:sz w:val="28"/>
              <w:szCs w:val="28"/>
            </w:rPr>
          </w:pPr>
          <w:r>
            <w:rPr>
              <w:rFonts w:ascii="Arial" w:hAnsi="Arial" w:cs="Arial"/>
              <w:noProof/>
              <w:sz w:val="44"/>
              <w:szCs w:val="44"/>
            </w:rPr>
            <w:drawing>
              <wp:inline distT="0" distB="0" distL="0" distR="0" wp14:anchorId="522D53DF" wp14:editId="2FF76AA7">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tcPr>
        <w:p w:rsidR="00BA5082" w:rsidRPr="009979FD" w:rsidRDefault="00AC0BE6" w:rsidP="00706136">
          <w:pPr>
            <w:tabs>
              <w:tab w:val="center" w:pos="4153"/>
              <w:tab w:val="right" w:pos="8306"/>
            </w:tabs>
            <w:rPr>
              <w:rFonts w:ascii="Arial" w:hAnsi="Arial" w:cs="Arial"/>
              <w:b/>
              <w:sz w:val="22"/>
              <w:szCs w:val="22"/>
            </w:rPr>
          </w:pPr>
          <w:r>
            <w:rPr>
              <w:rFonts w:ascii="Arial" w:hAnsi="Arial" w:cs="Arial"/>
              <w:b/>
              <w:sz w:val="22"/>
              <w:szCs w:val="22"/>
            </w:rPr>
            <w:t>Leadership Board</w:t>
          </w:r>
        </w:p>
      </w:tc>
    </w:tr>
    <w:tr w:rsidR="00BA5082" w:rsidRPr="0066328A" w:rsidTr="00706136">
      <w:trPr>
        <w:trHeight w:val="450"/>
      </w:trPr>
      <w:tc>
        <w:tcPr>
          <w:tcW w:w="5778" w:type="dxa"/>
          <w:vMerge/>
          <w:shd w:val="clear" w:color="auto" w:fill="auto"/>
        </w:tcPr>
        <w:p w:rsidR="00BA5082" w:rsidRPr="0066328A" w:rsidRDefault="00BA5082" w:rsidP="00706136">
          <w:pPr>
            <w:tabs>
              <w:tab w:val="center" w:pos="4153"/>
              <w:tab w:val="right" w:pos="8306"/>
            </w:tabs>
            <w:rPr>
              <w:rFonts w:ascii="Frutiger 45 Light" w:hAnsi="Frutiger 45 Light"/>
              <w:sz w:val="22"/>
              <w:szCs w:val="20"/>
            </w:rPr>
          </w:pPr>
        </w:p>
      </w:tc>
      <w:tc>
        <w:tcPr>
          <w:tcW w:w="3509" w:type="dxa"/>
          <w:shd w:val="clear" w:color="auto" w:fill="auto"/>
        </w:tcPr>
        <w:p w:rsidR="00D61F68" w:rsidRPr="00D61F68" w:rsidRDefault="00D61F68" w:rsidP="00D61F68">
          <w:pPr>
            <w:tabs>
              <w:tab w:val="center" w:pos="4153"/>
              <w:tab w:val="right" w:pos="8306"/>
            </w:tabs>
            <w:spacing w:before="60"/>
            <w:rPr>
              <w:rFonts w:ascii="Arial" w:hAnsi="Arial" w:cs="Arial"/>
              <w:sz w:val="22"/>
              <w:szCs w:val="22"/>
            </w:rPr>
          </w:pPr>
          <w:r>
            <w:rPr>
              <w:rFonts w:ascii="Arial" w:hAnsi="Arial" w:cs="Arial"/>
              <w:sz w:val="22"/>
              <w:szCs w:val="22"/>
            </w:rPr>
            <w:t>21</w:t>
          </w:r>
          <w:r w:rsidR="00245A31">
            <w:rPr>
              <w:rFonts w:ascii="Arial" w:hAnsi="Arial" w:cs="Arial"/>
              <w:sz w:val="22"/>
              <w:szCs w:val="22"/>
            </w:rPr>
            <w:t xml:space="preserve"> </w:t>
          </w:r>
          <w:r>
            <w:rPr>
              <w:rFonts w:ascii="Arial" w:hAnsi="Arial" w:cs="Arial"/>
              <w:sz w:val="22"/>
              <w:szCs w:val="22"/>
            </w:rPr>
            <w:t xml:space="preserve">January </w:t>
          </w:r>
          <w:r w:rsidR="00245A31">
            <w:rPr>
              <w:rFonts w:ascii="Arial" w:hAnsi="Arial" w:cs="Arial"/>
              <w:sz w:val="22"/>
              <w:szCs w:val="22"/>
            </w:rPr>
            <w:t>201</w:t>
          </w:r>
          <w:r>
            <w:rPr>
              <w:rFonts w:ascii="Arial" w:hAnsi="Arial" w:cs="Arial"/>
              <w:sz w:val="22"/>
              <w:szCs w:val="22"/>
            </w:rPr>
            <w:t>5</w:t>
          </w:r>
        </w:p>
      </w:tc>
    </w:tr>
    <w:tr w:rsidR="00BA5082" w:rsidRPr="0066328A" w:rsidTr="00706136">
      <w:trPr>
        <w:trHeight w:val="450"/>
      </w:trPr>
      <w:tc>
        <w:tcPr>
          <w:tcW w:w="5778" w:type="dxa"/>
          <w:vMerge/>
          <w:shd w:val="clear" w:color="auto" w:fill="auto"/>
        </w:tcPr>
        <w:p w:rsidR="00BA5082" w:rsidRPr="0066328A" w:rsidRDefault="00BA5082" w:rsidP="00706136">
          <w:pPr>
            <w:tabs>
              <w:tab w:val="center" w:pos="4153"/>
              <w:tab w:val="right" w:pos="8306"/>
            </w:tabs>
            <w:rPr>
              <w:rFonts w:ascii="Frutiger 45 Light" w:hAnsi="Frutiger 45 Light"/>
              <w:sz w:val="22"/>
              <w:szCs w:val="20"/>
            </w:rPr>
          </w:pPr>
        </w:p>
      </w:tc>
      <w:tc>
        <w:tcPr>
          <w:tcW w:w="3509" w:type="dxa"/>
          <w:shd w:val="clear" w:color="auto" w:fill="auto"/>
          <w:vAlign w:val="bottom"/>
        </w:tcPr>
        <w:p w:rsidR="00BA5082" w:rsidRPr="0066328A" w:rsidRDefault="00BA5082" w:rsidP="00706136">
          <w:pPr>
            <w:tabs>
              <w:tab w:val="center" w:pos="4153"/>
              <w:tab w:val="right" w:pos="8306"/>
            </w:tabs>
            <w:spacing w:before="60"/>
            <w:rPr>
              <w:rFonts w:ascii="Arial" w:hAnsi="Arial" w:cs="Arial"/>
              <w:b/>
            </w:rPr>
          </w:pPr>
        </w:p>
      </w:tc>
    </w:tr>
  </w:tbl>
  <w:p w:rsidR="00056036" w:rsidRDefault="00056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A1C"/>
    <w:multiLevelType w:val="multilevel"/>
    <w:tmpl w:val="D1241032"/>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F97E4B"/>
    <w:multiLevelType w:val="multilevel"/>
    <w:tmpl w:val="BDD04D38"/>
    <w:lvl w:ilvl="0">
      <w:start w:val="9"/>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2">
    <w:nsid w:val="093D2806"/>
    <w:multiLevelType w:val="hybridMultilevel"/>
    <w:tmpl w:val="C5D87A6E"/>
    <w:lvl w:ilvl="0" w:tplc="3152A004">
      <w:start w:val="1"/>
      <w:numFmt w:val="bullet"/>
      <w:lvlText w:val=""/>
      <w:lvlJc w:val="left"/>
      <w:pPr>
        <w:ind w:left="1080" w:hanging="360"/>
      </w:pPr>
      <w:rPr>
        <w:rFonts w:ascii="Symbol" w:hAnsi="Symbol" w:hint="default"/>
        <w:color w:val="4F81BD"/>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C18A2"/>
    <w:multiLevelType w:val="multilevel"/>
    <w:tmpl w:val="49BAE71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FF27A70"/>
    <w:multiLevelType w:val="hybridMultilevel"/>
    <w:tmpl w:val="C2DCF38E"/>
    <w:lvl w:ilvl="0" w:tplc="214E3538">
      <w:start w:val="1"/>
      <w:numFmt w:val="decimal"/>
      <w:lvlText w:val="11.%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0C5C70"/>
    <w:multiLevelType w:val="multilevel"/>
    <w:tmpl w:val="AF8E727C"/>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6">
    <w:nsid w:val="13D214D7"/>
    <w:multiLevelType w:val="multilevel"/>
    <w:tmpl w:val="E828EB52"/>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00452A"/>
    <w:multiLevelType w:val="multilevel"/>
    <w:tmpl w:val="53983E8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8">
    <w:nsid w:val="2F631BA1"/>
    <w:multiLevelType w:val="multilevel"/>
    <w:tmpl w:val="430221C8"/>
    <w:lvl w:ilvl="0">
      <w:start w:val="8"/>
      <w:numFmt w:val="decimal"/>
      <w:lvlText w:val="%1"/>
      <w:lvlJc w:val="left"/>
      <w:pPr>
        <w:ind w:left="360" w:hanging="360"/>
      </w:pPr>
      <w:rPr>
        <w:rFonts w:hint="default"/>
        <w:b w:val="0"/>
      </w:rPr>
    </w:lvl>
    <w:lvl w:ilvl="1">
      <w:start w:val="3"/>
      <w:numFmt w:val="decimal"/>
      <w:lvlText w:val="%1.%2"/>
      <w:lvlJc w:val="left"/>
      <w:pPr>
        <w:ind w:left="1040" w:hanging="36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val="0"/>
      </w:rPr>
    </w:lvl>
    <w:lvl w:ilvl="4">
      <w:start w:val="1"/>
      <w:numFmt w:val="decimal"/>
      <w:lvlText w:val="%1.%2.%3.%4.%5"/>
      <w:lvlJc w:val="left"/>
      <w:pPr>
        <w:ind w:left="3800" w:hanging="1080"/>
      </w:pPr>
      <w:rPr>
        <w:rFonts w:hint="default"/>
        <w:b w:val="0"/>
      </w:rPr>
    </w:lvl>
    <w:lvl w:ilvl="5">
      <w:start w:val="1"/>
      <w:numFmt w:val="decimal"/>
      <w:lvlText w:val="%1.%2.%3.%4.%5.%6"/>
      <w:lvlJc w:val="left"/>
      <w:pPr>
        <w:ind w:left="4480" w:hanging="1080"/>
      </w:pPr>
      <w:rPr>
        <w:rFonts w:hint="default"/>
        <w:b w:val="0"/>
      </w:rPr>
    </w:lvl>
    <w:lvl w:ilvl="6">
      <w:start w:val="1"/>
      <w:numFmt w:val="decimal"/>
      <w:lvlText w:val="%1.%2.%3.%4.%5.%6.%7"/>
      <w:lvlJc w:val="left"/>
      <w:pPr>
        <w:ind w:left="5520" w:hanging="1440"/>
      </w:pPr>
      <w:rPr>
        <w:rFonts w:hint="default"/>
        <w:b w:val="0"/>
      </w:rPr>
    </w:lvl>
    <w:lvl w:ilvl="7">
      <w:start w:val="1"/>
      <w:numFmt w:val="decimal"/>
      <w:lvlText w:val="%1.%2.%3.%4.%5.%6.%7.%8"/>
      <w:lvlJc w:val="left"/>
      <w:pPr>
        <w:ind w:left="6200" w:hanging="1440"/>
      </w:pPr>
      <w:rPr>
        <w:rFonts w:hint="default"/>
        <w:b w:val="0"/>
      </w:rPr>
    </w:lvl>
    <w:lvl w:ilvl="8">
      <w:start w:val="1"/>
      <w:numFmt w:val="decimal"/>
      <w:lvlText w:val="%1.%2.%3.%4.%5.%6.%7.%8.%9"/>
      <w:lvlJc w:val="left"/>
      <w:pPr>
        <w:ind w:left="7240" w:hanging="1800"/>
      </w:pPr>
      <w:rPr>
        <w:rFonts w:hint="default"/>
        <w:b w:val="0"/>
      </w:rPr>
    </w:lvl>
  </w:abstractNum>
  <w:abstractNum w:abstractNumId="9">
    <w:nsid w:val="354C6A05"/>
    <w:multiLevelType w:val="multilevel"/>
    <w:tmpl w:val="998E6968"/>
    <w:lvl w:ilvl="0">
      <w:start w:val="1"/>
      <w:numFmt w:val="decimal"/>
      <w:lvlText w:val="%1."/>
      <w:lvlJc w:val="left"/>
      <w:pPr>
        <w:tabs>
          <w:tab w:val="num" w:pos="680"/>
        </w:tabs>
        <w:ind w:left="680" w:hanging="680"/>
      </w:pPr>
      <w:rPr>
        <w:rFonts w:hint="default"/>
        <w:b w:val="0"/>
        <w:sz w:val="22"/>
        <w:szCs w:val="22"/>
      </w:rPr>
    </w:lvl>
    <w:lvl w:ilvl="1">
      <w:start w:val="1"/>
      <w:numFmt w:val="decimal"/>
      <w:lvlText w:val="%1.%2."/>
      <w:lvlJc w:val="left"/>
      <w:pPr>
        <w:tabs>
          <w:tab w:val="num" w:pos="1361"/>
        </w:tabs>
        <w:ind w:left="136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578781F"/>
    <w:multiLevelType w:val="hybridMultilevel"/>
    <w:tmpl w:val="3AF091DC"/>
    <w:lvl w:ilvl="0" w:tplc="84FC37C6">
      <w:start w:val="1"/>
      <w:numFmt w:val="decimal"/>
      <w:lvlText w:val="13.%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D6E7593"/>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12">
    <w:nsid w:val="4111740B"/>
    <w:multiLevelType w:val="multilevel"/>
    <w:tmpl w:val="E3F0034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3">
    <w:nsid w:val="479B36F7"/>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14">
    <w:nsid w:val="4A6C5555"/>
    <w:multiLevelType w:val="hybridMultilevel"/>
    <w:tmpl w:val="E828EB52"/>
    <w:lvl w:ilvl="0" w:tplc="08090001">
      <w:start w:val="1"/>
      <w:numFmt w:val="bullet"/>
      <w:lvlText w:val=""/>
      <w:lvlJc w:val="left"/>
      <w:pPr>
        <w:tabs>
          <w:tab w:val="num" w:pos="927"/>
        </w:tabs>
        <w:ind w:left="927"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53937F6C"/>
    <w:multiLevelType w:val="hybridMultilevel"/>
    <w:tmpl w:val="3C366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BB085C"/>
    <w:multiLevelType w:val="hybridMultilevel"/>
    <w:tmpl w:val="C85E7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C110B72"/>
    <w:multiLevelType w:val="multilevel"/>
    <w:tmpl w:val="9A960CAA"/>
    <w:lvl w:ilvl="0">
      <w:start w:val="7"/>
      <w:numFmt w:val="decimal"/>
      <w:lvlText w:val="%1"/>
      <w:lvlJc w:val="left"/>
      <w:pPr>
        <w:tabs>
          <w:tab w:val="num" w:pos="360"/>
        </w:tabs>
        <w:ind w:left="360" w:hanging="360"/>
      </w:p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18">
    <w:nsid w:val="6D244314"/>
    <w:multiLevelType w:val="multilevel"/>
    <w:tmpl w:val="AF42EA3C"/>
    <w:lvl w:ilvl="0">
      <w:start w:val="1"/>
      <w:numFmt w:val="bullet"/>
      <w:lvlText w:val=""/>
      <w:lvlJc w:val="left"/>
      <w:pPr>
        <w:tabs>
          <w:tab w:val="num" w:pos="930"/>
        </w:tabs>
        <w:ind w:left="9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D97085A"/>
    <w:multiLevelType w:val="hybridMultilevel"/>
    <w:tmpl w:val="05CCE4FA"/>
    <w:lvl w:ilvl="0" w:tplc="A122345A">
      <w:start w:val="1"/>
      <w:numFmt w:val="decimal"/>
      <w:lvlText w:val="9.%1."/>
      <w:lvlJc w:val="left"/>
      <w:pPr>
        <w:tabs>
          <w:tab w:val="num" w:pos="1137"/>
        </w:tabs>
        <w:ind w:left="113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E032FDA"/>
    <w:multiLevelType w:val="multilevel"/>
    <w:tmpl w:val="F658167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21">
    <w:nsid w:val="70D43607"/>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22">
    <w:nsid w:val="762A6D99"/>
    <w:multiLevelType w:val="hybridMultilevel"/>
    <w:tmpl w:val="20BC28F0"/>
    <w:lvl w:ilvl="0" w:tplc="3048A2EC">
      <w:start w:val="1"/>
      <w:numFmt w:val="decimal"/>
      <w:lvlText w:val="2.%1."/>
      <w:lvlJc w:val="left"/>
      <w:pPr>
        <w:tabs>
          <w:tab w:val="num" w:pos="1137"/>
        </w:tabs>
        <w:ind w:left="1137" w:hanging="567"/>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CEC4660"/>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num w:numId="1">
    <w:abstractNumId w:val="22"/>
  </w:num>
  <w:num w:numId="2">
    <w:abstractNumId w:val="11"/>
  </w:num>
  <w:num w:numId="3">
    <w:abstractNumId w:val="1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22"/>
  </w:num>
  <w:num w:numId="8">
    <w:abstractNumId w:val="1"/>
  </w:num>
  <w:num w:numId="9">
    <w:abstractNumId w:val="18"/>
  </w:num>
  <w:num w:numId="10">
    <w:abstractNumId w:val="21"/>
  </w:num>
  <w:num w:numId="11">
    <w:abstractNumId w:val="19"/>
  </w:num>
  <w:num w:numId="12">
    <w:abstractNumId w:val="23"/>
  </w:num>
  <w:num w:numId="13">
    <w:abstractNumId w:val="4"/>
  </w:num>
  <w:num w:numId="14">
    <w:abstractNumId w:val="6"/>
  </w:num>
  <w:num w:numId="15">
    <w:abstractNumId w:val="10"/>
  </w:num>
  <w:num w:numId="16">
    <w:abstractNumId w:val="7"/>
  </w:num>
  <w:num w:numId="17">
    <w:abstractNumId w:val="5"/>
  </w:num>
  <w:num w:numId="18">
    <w:abstractNumId w:val="12"/>
  </w:num>
  <w:num w:numId="19">
    <w:abstractNumId w:val="3"/>
  </w:num>
  <w:num w:numId="20">
    <w:abstractNumId w:val="20"/>
  </w:num>
  <w:num w:numId="21">
    <w:abstractNumId w:val="0"/>
  </w:num>
  <w:num w:numId="22">
    <w:abstractNumId w:val="9"/>
  </w:num>
  <w:num w:numId="23">
    <w:abstractNumId w:val="16"/>
  </w:num>
  <w:num w:numId="24">
    <w:abstractNumId w:val="2"/>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EB"/>
    <w:rsid w:val="00012621"/>
    <w:rsid w:val="00020D21"/>
    <w:rsid w:val="00031D01"/>
    <w:rsid w:val="00033906"/>
    <w:rsid w:val="00050898"/>
    <w:rsid w:val="00054DC8"/>
    <w:rsid w:val="00055BD7"/>
    <w:rsid w:val="00056036"/>
    <w:rsid w:val="000677E4"/>
    <w:rsid w:val="00073B23"/>
    <w:rsid w:val="00075486"/>
    <w:rsid w:val="00075EE8"/>
    <w:rsid w:val="000762EF"/>
    <w:rsid w:val="00081B77"/>
    <w:rsid w:val="00082022"/>
    <w:rsid w:val="000852AC"/>
    <w:rsid w:val="00085325"/>
    <w:rsid w:val="0009098F"/>
    <w:rsid w:val="00094BA7"/>
    <w:rsid w:val="0009596D"/>
    <w:rsid w:val="0009693A"/>
    <w:rsid w:val="00097EE0"/>
    <w:rsid w:val="000A085A"/>
    <w:rsid w:val="000A1A32"/>
    <w:rsid w:val="000A677C"/>
    <w:rsid w:val="000B5520"/>
    <w:rsid w:val="000B5ADF"/>
    <w:rsid w:val="000B70CC"/>
    <w:rsid w:val="000C1A72"/>
    <w:rsid w:val="000C1D0A"/>
    <w:rsid w:val="000C2A35"/>
    <w:rsid w:val="000C2EA7"/>
    <w:rsid w:val="000D185A"/>
    <w:rsid w:val="000E26FA"/>
    <w:rsid w:val="000F5B31"/>
    <w:rsid w:val="000F77D2"/>
    <w:rsid w:val="001013B9"/>
    <w:rsid w:val="0011628E"/>
    <w:rsid w:val="00123DBF"/>
    <w:rsid w:val="00133BBF"/>
    <w:rsid w:val="001346B8"/>
    <w:rsid w:val="001353FD"/>
    <w:rsid w:val="00147C9F"/>
    <w:rsid w:val="00150A79"/>
    <w:rsid w:val="00172E18"/>
    <w:rsid w:val="00177ABF"/>
    <w:rsid w:val="001816BE"/>
    <w:rsid w:val="00194CA5"/>
    <w:rsid w:val="00196DB1"/>
    <w:rsid w:val="001A760E"/>
    <w:rsid w:val="001A7618"/>
    <w:rsid w:val="001B3B36"/>
    <w:rsid w:val="001D04EB"/>
    <w:rsid w:val="001D074D"/>
    <w:rsid w:val="001D39FB"/>
    <w:rsid w:val="001E0AF7"/>
    <w:rsid w:val="001E1E76"/>
    <w:rsid w:val="001F79CA"/>
    <w:rsid w:val="001F7D95"/>
    <w:rsid w:val="0020207C"/>
    <w:rsid w:val="002052AE"/>
    <w:rsid w:val="00213064"/>
    <w:rsid w:val="002159B6"/>
    <w:rsid w:val="00220CDD"/>
    <w:rsid w:val="00222A24"/>
    <w:rsid w:val="00230CD0"/>
    <w:rsid w:val="00243548"/>
    <w:rsid w:val="00245A31"/>
    <w:rsid w:val="002528F7"/>
    <w:rsid w:val="0025565B"/>
    <w:rsid w:val="00255DA1"/>
    <w:rsid w:val="002565FA"/>
    <w:rsid w:val="0026193B"/>
    <w:rsid w:val="00272D65"/>
    <w:rsid w:val="002764E4"/>
    <w:rsid w:val="00277DAD"/>
    <w:rsid w:val="00283E28"/>
    <w:rsid w:val="002851D1"/>
    <w:rsid w:val="0029035F"/>
    <w:rsid w:val="00294E3A"/>
    <w:rsid w:val="00297C14"/>
    <w:rsid w:val="002A0D65"/>
    <w:rsid w:val="002A12F5"/>
    <w:rsid w:val="002C31FB"/>
    <w:rsid w:val="002C3B62"/>
    <w:rsid w:val="002E014B"/>
    <w:rsid w:val="002E1B9D"/>
    <w:rsid w:val="002E3A0E"/>
    <w:rsid w:val="002F5493"/>
    <w:rsid w:val="002F7FBD"/>
    <w:rsid w:val="00300CCF"/>
    <w:rsid w:val="003026E1"/>
    <w:rsid w:val="0030659C"/>
    <w:rsid w:val="00315770"/>
    <w:rsid w:val="00320677"/>
    <w:rsid w:val="003276B9"/>
    <w:rsid w:val="0033056D"/>
    <w:rsid w:val="00330C37"/>
    <w:rsid w:val="0033241D"/>
    <w:rsid w:val="003338B0"/>
    <w:rsid w:val="003510D2"/>
    <w:rsid w:val="00361355"/>
    <w:rsid w:val="00382381"/>
    <w:rsid w:val="00392ECF"/>
    <w:rsid w:val="003A00FE"/>
    <w:rsid w:val="003A069D"/>
    <w:rsid w:val="003A3B7D"/>
    <w:rsid w:val="003B74F8"/>
    <w:rsid w:val="003C0DD7"/>
    <w:rsid w:val="003C59F0"/>
    <w:rsid w:val="003D24E8"/>
    <w:rsid w:val="003D5A1D"/>
    <w:rsid w:val="003E0575"/>
    <w:rsid w:val="003E12FA"/>
    <w:rsid w:val="003E1BC7"/>
    <w:rsid w:val="003E57B4"/>
    <w:rsid w:val="003E67CF"/>
    <w:rsid w:val="003F18AA"/>
    <w:rsid w:val="003F64A3"/>
    <w:rsid w:val="003F7094"/>
    <w:rsid w:val="0040031F"/>
    <w:rsid w:val="004016D4"/>
    <w:rsid w:val="00405262"/>
    <w:rsid w:val="004118CC"/>
    <w:rsid w:val="00412E75"/>
    <w:rsid w:val="00433DBE"/>
    <w:rsid w:val="00437142"/>
    <w:rsid w:val="004570FD"/>
    <w:rsid w:val="004627EA"/>
    <w:rsid w:val="004757AD"/>
    <w:rsid w:val="00475BEF"/>
    <w:rsid w:val="00486A29"/>
    <w:rsid w:val="00495FDA"/>
    <w:rsid w:val="00497722"/>
    <w:rsid w:val="004A2463"/>
    <w:rsid w:val="004B236A"/>
    <w:rsid w:val="004B245F"/>
    <w:rsid w:val="004B3F25"/>
    <w:rsid w:val="004B48C3"/>
    <w:rsid w:val="004C1BAD"/>
    <w:rsid w:val="004C42AF"/>
    <w:rsid w:val="004C4C6F"/>
    <w:rsid w:val="004C53F6"/>
    <w:rsid w:val="004D24DE"/>
    <w:rsid w:val="004D644A"/>
    <w:rsid w:val="004E3487"/>
    <w:rsid w:val="00501DF8"/>
    <w:rsid w:val="0050306D"/>
    <w:rsid w:val="0050334C"/>
    <w:rsid w:val="00517A06"/>
    <w:rsid w:val="00520B2A"/>
    <w:rsid w:val="005365C3"/>
    <w:rsid w:val="0054355C"/>
    <w:rsid w:val="00552BFD"/>
    <w:rsid w:val="00554292"/>
    <w:rsid w:val="00575348"/>
    <w:rsid w:val="0058427C"/>
    <w:rsid w:val="00586AA8"/>
    <w:rsid w:val="00586E8C"/>
    <w:rsid w:val="0059415E"/>
    <w:rsid w:val="00596F92"/>
    <w:rsid w:val="005A321B"/>
    <w:rsid w:val="005A5CE8"/>
    <w:rsid w:val="005D6346"/>
    <w:rsid w:val="005F1795"/>
    <w:rsid w:val="00611A2B"/>
    <w:rsid w:val="006173D6"/>
    <w:rsid w:val="0061798E"/>
    <w:rsid w:val="00617BFC"/>
    <w:rsid w:val="00623B1C"/>
    <w:rsid w:val="0062740F"/>
    <w:rsid w:val="00636865"/>
    <w:rsid w:val="00642195"/>
    <w:rsid w:val="00652E5C"/>
    <w:rsid w:val="00657BD4"/>
    <w:rsid w:val="0066328A"/>
    <w:rsid w:val="00676E91"/>
    <w:rsid w:val="00677FBC"/>
    <w:rsid w:val="0068013E"/>
    <w:rsid w:val="006912F7"/>
    <w:rsid w:val="00696623"/>
    <w:rsid w:val="006A5CF4"/>
    <w:rsid w:val="006B3745"/>
    <w:rsid w:val="006B5E67"/>
    <w:rsid w:val="006C16FD"/>
    <w:rsid w:val="006C5DF2"/>
    <w:rsid w:val="006E00CA"/>
    <w:rsid w:val="006E00D3"/>
    <w:rsid w:val="006E405E"/>
    <w:rsid w:val="006F07F5"/>
    <w:rsid w:val="006F6960"/>
    <w:rsid w:val="007024FF"/>
    <w:rsid w:val="0070597B"/>
    <w:rsid w:val="00706136"/>
    <w:rsid w:val="007072FF"/>
    <w:rsid w:val="0071623C"/>
    <w:rsid w:val="00723676"/>
    <w:rsid w:val="00725170"/>
    <w:rsid w:val="00727445"/>
    <w:rsid w:val="00727BAD"/>
    <w:rsid w:val="007302E3"/>
    <w:rsid w:val="007376D1"/>
    <w:rsid w:val="00747BBB"/>
    <w:rsid w:val="007512CD"/>
    <w:rsid w:val="0076476A"/>
    <w:rsid w:val="00793664"/>
    <w:rsid w:val="007A3A13"/>
    <w:rsid w:val="007B58F3"/>
    <w:rsid w:val="007B7AF6"/>
    <w:rsid w:val="007C1588"/>
    <w:rsid w:val="007C1D46"/>
    <w:rsid w:val="007C6AA0"/>
    <w:rsid w:val="007D6DFF"/>
    <w:rsid w:val="007D7126"/>
    <w:rsid w:val="007E01EA"/>
    <w:rsid w:val="007E1569"/>
    <w:rsid w:val="007E3C6C"/>
    <w:rsid w:val="007E440A"/>
    <w:rsid w:val="007E5800"/>
    <w:rsid w:val="007F2856"/>
    <w:rsid w:val="0081033D"/>
    <w:rsid w:val="008132C6"/>
    <w:rsid w:val="00815090"/>
    <w:rsid w:val="0081533C"/>
    <w:rsid w:val="00817344"/>
    <w:rsid w:val="008175A2"/>
    <w:rsid w:val="00817B39"/>
    <w:rsid w:val="00823D83"/>
    <w:rsid w:val="00825089"/>
    <w:rsid w:val="00831618"/>
    <w:rsid w:val="00834ECB"/>
    <w:rsid w:val="0083544C"/>
    <w:rsid w:val="00840685"/>
    <w:rsid w:val="00861CE8"/>
    <w:rsid w:val="00862660"/>
    <w:rsid w:val="00863BDD"/>
    <w:rsid w:val="008700A5"/>
    <w:rsid w:val="0087232F"/>
    <w:rsid w:val="00882238"/>
    <w:rsid w:val="008852FC"/>
    <w:rsid w:val="00886247"/>
    <w:rsid w:val="0089227B"/>
    <w:rsid w:val="00892685"/>
    <w:rsid w:val="008A0410"/>
    <w:rsid w:val="008A0BE2"/>
    <w:rsid w:val="008A5E12"/>
    <w:rsid w:val="008B1907"/>
    <w:rsid w:val="008B7DCD"/>
    <w:rsid w:val="008C7C10"/>
    <w:rsid w:val="008E265D"/>
    <w:rsid w:val="008F2D93"/>
    <w:rsid w:val="008F71A6"/>
    <w:rsid w:val="009051B5"/>
    <w:rsid w:val="009231F1"/>
    <w:rsid w:val="00932FFA"/>
    <w:rsid w:val="009520EF"/>
    <w:rsid w:val="00955A6B"/>
    <w:rsid w:val="00961AF0"/>
    <w:rsid w:val="00974137"/>
    <w:rsid w:val="009757B0"/>
    <w:rsid w:val="00983AA1"/>
    <w:rsid w:val="00984351"/>
    <w:rsid w:val="009917E9"/>
    <w:rsid w:val="009979FD"/>
    <w:rsid w:val="009A461B"/>
    <w:rsid w:val="009A7A7E"/>
    <w:rsid w:val="009B1A2B"/>
    <w:rsid w:val="009B34E1"/>
    <w:rsid w:val="009B4B8C"/>
    <w:rsid w:val="009B5813"/>
    <w:rsid w:val="009B701F"/>
    <w:rsid w:val="009C4FC2"/>
    <w:rsid w:val="009C7EE9"/>
    <w:rsid w:val="009E0297"/>
    <w:rsid w:val="009E55B9"/>
    <w:rsid w:val="009E6B78"/>
    <w:rsid w:val="009F1D72"/>
    <w:rsid w:val="009F2ACB"/>
    <w:rsid w:val="009F4E82"/>
    <w:rsid w:val="009F530F"/>
    <w:rsid w:val="009F7169"/>
    <w:rsid w:val="00A0395A"/>
    <w:rsid w:val="00A0625C"/>
    <w:rsid w:val="00A112A2"/>
    <w:rsid w:val="00A15AFB"/>
    <w:rsid w:val="00A40C7A"/>
    <w:rsid w:val="00A514B7"/>
    <w:rsid w:val="00A532E1"/>
    <w:rsid w:val="00A55B46"/>
    <w:rsid w:val="00A60B7F"/>
    <w:rsid w:val="00A6333C"/>
    <w:rsid w:val="00A738A1"/>
    <w:rsid w:val="00A73941"/>
    <w:rsid w:val="00A745E9"/>
    <w:rsid w:val="00A777EE"/>
    <w:rsid w:val="00A8085C"/>
    <w:rsid w:val="00A81BAC"/>
    <w:rsid w:val="00A8478B"/>
    <w:rsid w:val="00A93971"/>
    <w:rsid w:val="00A959A2"/>
    <w:rsid w:val="00A960FC"/>
    <w:rsid w:val="00A967AC"/>
    <w:rsid w:val="00AA0889"/>
    <w:rsid w:val="00AA4D52"/>
    <w:rsid w:val="00AA7A6F"/>
    <w:rsid w:val="00AB352D"/>
    <w:rsid w:val="00AB5D4F"/>
    <w:rsid w:val="00AC0BE6"/>
    <w:rsid w:val="00AC2A97"/>
    <w:rsid w:val="00AC48F5"/>
    <w:rsid w:val="00AC6F5A"/>
    <w:rsid w:val="00AD425F"/>
    <w:rsid w:val="00AD5B80"/>
    <w:rsid w:val="00AD7282"/>
    <w:rsid w:val="00AE6B1A"/>
    <w:rsid w:val="00AF022B"/>
    <w:rsid w:val="00B07C3B"/>
    <w:rsid w:val="00B15B09"/>
    <w:rsid w:val="00B15EA5"/>
    <w:rsid w:val="00B2329E"/>
    <w:rsid w:val="00B25B57"/>
    <w:rsid w:val="00B34C96"/>
    <w:rsid w:val="00B43058"/>
    <w:rsid w:val="00B4707A"/>
    <w:rsid w:val="00B506BB"/>
    <w:rsid w:val="00B54553"/>
    <w:rsid w:val="00B6670F"/>
    <w:rsid w:val="00B66E02"/>
    <w:rsid w:val="00B756D3"/>
    <w:rsid w:val="00B80358"/>
    <w:rsid w:val="00B87E75"/>
    <w:rsid w:val="00B916D3"/>
    <w:rsid w:val="00B96254"/>
    <w:rsid w:val="00BA5082"/>
    <w:rsid w:val="00BB193A"/>
    <w:rsid w:val="00BB2A62"/>
    <w:rsid w:val="00BB5693"/>
    <w:rsid w:val="00BD0568"/>
    <w:rsid w:val="00BD31CD"/>
    <w:rsid w:val="00BD37B6"/>
    <w:rsid w:val="00BD7206"/>
    <w:rsid w:val="00BF2CA6"/>
    <w:rsid w:val="00C0178B"/>
    <w:rsid w:val="00C02ADF"/>
    <w:rsid w:val="00C075D2"/>
    <w:rsid w:val="00C10D8C"/>
    <w:rsid w:val="00C15E1A"/>
    <w:rsid w:val="00C15F7E"/>
    <w:rsid w:val="00C226B0"/>
    <w:rsid w:val="00C32541"/>
    <w:rsid w:val="00C33637"/>
    <w:rsid w:val="00C3585C"/>
    <w:rsid w:val="00C35B5C"/>
    <w:rsid w:val="00C458A4"/>
    <w:rsid w:val="00C46ED3"/>
    <w:rsid w:val="00C53663"/>
    <w:rsid w:val="00C65737"/>
    <w:rsid w:val="00C657BB"/>
    <w:rsid w:val="00C663AB"/>
    <w:rsid w:val="00C706FE"/>
    <w:rsid w:val="00C7155A"/>
    <w:rsid w:val="00C74821"/>
    <w:rsid w:val="00C757A7"/>
    <w:rsid w:val="00C86556"/>
    <w:rsid w:val="00C945C0"/>
    <w:rsid w:val="00C960A6"/>
    <w:rsid w:val="00C97DEB"/>
    <w:rsid w:val="00CA4A79"/>
    <w:rsid w:val="00CB2DEB"/>
    <w:rsid w:val="00CB2E0D"/>
    <w:rsid w:val="00CB4181"/>
    <w:rsid w:val="00CB5B39"/>
    <w:rsid w:val="00CC2DBA"/>
    <w:rsid w:val="00CC319B"/>
    <w:rsid w:val="00CD1CDC"/>
    <w:rsid w:val="00CD57BF"/>
    <w:rsid w:val="00CD724A"/>
    <w:rsid w:val="00CD7B88"/>
    <w:rsid w:val="00CE3E2D"/>
    <w:rsid w:val="00CE647A"/>
    <w:rsid w:val="00CF7097"/>
    <w:rsid w:val="00D06F69"/>
    <w:rsid w:val="00D113E5"/>
    <w:rsid w:val="00D118AC"/>
    <w:rsid w:val="00D14FC8"/>
    <w:rsid w:val="00D26B7A"/>
    <w:rsid w:val="00D408EE"/>
    <w:rsid w:val="00D426B6"/>
    <w:rsid w:val="00D44864"/>
    <w:rsid w:val="00D61F68"/>
    <w:rsid w:val="00D7011D"/>
    <w:rsid w:val="00D708CC"/>
    <w:rsid w:val="00D765E5"/>
    <w:rsid w:val="00D77746"/>
    <w:rsid w:val="00DA08A9"/>
    <w:rsid w:val="00DA4A26"/>
    <w:rsid w:val="00DB12EF"/>
    <w:rsid w:val="00DB2705"/>
    <w:rsid w:val="00DB623C"/>
    <w:rsid w:val="00DC1492"/>
    <w:rsid w:val="00DC47A1"/>
    <w:rsid w:val="00DC4E02"/>
    <w:rsid w:val="00DC7F24"/>
    <w:rsid w:val="00DE3ADA"/>
    <w:rsid w:val="00DE3E58"/>
    <w:rsid w:val="00DF0478"/>
    <w:rsid w:val="00E020B7"/>
    <w:rsid w:val="00E10EF5"/>
    <w:rsid w:val="00E11320"/>
    <w:rsid w:val="00E11EF6"/>
    <w:rsid w:val="00E20378"/>
    <w:rsid w:val="00E20B07"/>
    <w:rsid w:val="00E31145"/>
    <w:rsid w:val="00E35EA5"/>
    <w:rsid w:val="00E50848"/>
    <w:rsid w:val="00E62370"/>
    <w:rsid w:val="00E672FF"/>
    <w:rsid w:val="00E723ED"/>
    <w:rsid w:val="00E74B51"/>
    <w:rsid w:val="00E818E7"/>
    <w:rsid w:val="00EA0FD6"/>
    <w:rsid w:val="00EA3F62"/>
    <w:rsid w:val="00EB67DC"/>
    <w:rsid w:val="00EB6F58"/>
    <w:rsid w:val="00EB7C9D"/>
    <w:rsid w:val="00EC0857"/>
    <w:rsid w:val="00EC1223"/>
    <w:rsid w:val="00ED1971"/>
    <w:rsid w:val="00ED1B17"/>
    <w:rsid w:val="00ED7C77"/>
    <w:rsid w:val="00EE7969"/>
    <w:rsid w:val="00EF7378"/>
    <w:rsid w:val="00F01F07"/>
    <w:rsid w:val="00F30134"/>
    <w:rsid w:val="00F3113C"/>
    <w:rsid w:val="00F41DF7"/>
    <w:rsid w:val="00F42AF4"/>
    <w:rsid w:val="00F44D9E"/>
    <w:rsid w:val="00F476C6"/>
    <w:rsid w:val="00F541DD"/>
    <w:rsid w:val="00F544E7"/>
    <w:rsid w:val="00F80D5D"/>
    <w:rsid w:val="00F81780"/>
    <w:rsid w:val="00F82AF0"/>
    <w:rsid w:val="00F84ADD"/>
    <w:rsid w:val="00F85271"/>
    <w:rsid w:val="00F86ED6"/>
    <w:rsid w:val="00FA1CC3"/>
    <w:rsid w:val="00FA7971"/>
    <w:rsid w:val="00FB599C"/>
    <w:rsid w:val="00FD3D02"/>
    <w:rsid w:val="00FD4975"/>
    <w:rsid w:val="00FE3E5F"/>
    <w:rsid w:val="00FE40AB"/>
    <w:rsid w:val="00FE41C8"/>
    <w:rsid w:val="00FF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2568">
      <w:bodyDiv w:val="1"/>
      <w:marLeft w:val="0"/>
      <w:marRight w:val="0"/>
      <w:marTop w:val="0"/>
      <w:marBottom w:val="0"/>
      <w:divBdr>
        <w:top w:val="none" w:sz="0" w:space="0" w:color="auto"/>
        <w:left w:val="none" w:sz="0" w:space="0" w:color="auto"/>
        <w:bottom w:val="none" w:sz="0" w:space="0" w:color="auto"/>
        <w:right w:val="none" w:sz="0" w:space="0" w:color="auto"/>
      </w:divBdr>
    </w:div>
    <w:div w:id="1040057778">
      <w:bodyDiv w:val="1"/>
      <w:marLeft w:val="0"/>
      <w:marRight w:val="0"/>
      <w:marTop w:val="0"/>
      <w:marBottom w:val="0"/>
      <w:divBdr>
        <w:top w:val="none" w:sz="0" w:space="0" w:color="auto"/>
        <w:left w:val="none" w:sz="0" w:space="0" w:color="auto"/>
        <w:bottom w:val="none" w:sz="0" w:space="0" w:color="auto"/>
        <w:right w:val="none" w:sz="0" w:space="0" w:color="auto"/>
      </w:divBdr>
    </w:div>
    <w:div w:id="1062748692">
      <w:bodyDiv w:val="1"/>
      <w:marLeft w:val="0"/>
      <w:marRight w:val="0"/>
      <w:marTop w:val="0"/>
      <w:marBottom w:val="0"/>
      <w:divBdr>
        <w:top w:val="none" w:sz="0" w:space="0" w:color="auto"/>
        <w:left w:val="none" w:sz="0" w:space="0" w:color="auto"/>
        <w:bottom w:val="none" w:sz="0" w:space="0" w:color="auto"/>
        <w:right w:val="none" w:sz="0" w:space="0" w:color="auto"/>
      </w:divBdr>
    </w:div>
    <w:div w:id="1156074482">
      <w:bodyDiv w:val="1"/>
      <w:marLeft w:val="0"/>
      <w:marRight w:val="0"/>
      <w:marTop w:val="0"/>
      <w:marBottom w:val="0"/>
      <w:divBdr>
        <w:top w:val="none" w:sz="0" w:space="0" w:color="auto"/>
        <w:left w:val="none" w:sz="0" w:space="0" w:color="auto"/>
        <w:bottom w:val="none" w:sz="0" w:space="0" w:color="auto"/>
        <w:right w:val="none" w:sz="0" w:space="0" w:color="auto"/>
      </w:divBdr>
    </w:div>
    <w:div w:id="1613322932">
      <w:bodyDiv w:val="1"/>
      <w:marLeft w:val="0"/>
      <w:marRight w:val="0"/>
      <w:marTop w:val="0"/>
      <w:marBottom w:val="0"/>
      <w:divBdr>
        <w:top w:val="none" w:sz="0" w:space="0" w:color="auto"/>
        <w:left w:val="none" w:sz="0" w:space="0" w:color="auto"/>
        <w:bottom w:val="none" w:sz="0" w:space="0" w:color="auto"/>
        <w:right w:val="none" w:sz="0" w:space="0" w:color="auto"/>
      </w:divBdr>
    </w:div>
    <w:div w:id="1896891079">
      <w:bodyDiv w:val="1"/>
      <w:marLeft w:val="0"/>
      <w:marRight w:val="0"/>
      <w:marTop w:val="0"/>
      <w:marBottom w:val="0"/>
      <w:divBdr>
        <w:top w:val="none" w:sz="0" w:space="0" w:color="auto"/>
        <w:left w:val="none" w:sz="0" w:space="0" w:color="auto"/>
        <w:bottom w:val="none" w:sz="0" w:space="0" w:color="auto"/>
        <w:right w:val="none" w:sz="0" w:space="0" w:color="auto"/>
      </w:divBdr>
    </w:div>
    <w:div w:id="1986742596">
      <w:bodyDiv w:val="1"/>
      <w:marLeft w:val="0"/>
      <w:marRight w:val="0"/>
      <w:marTop w:val="0"/>
      <w:marBottom w:val="0"/>
      <w:divBdr>
        <w:top w:val="none" w:sz="0" w:space="0" w:color="auto"/>
        <w:left w:val="none" w:sz="0" w:space="0" w:color="auto"/>
        <w:bottom w:val="none" w:sz="0" w:space="0" w:color="auto"/>
        <w:right w:val="none" w:sz="0" w:space="0" w:color="auto"/>
      </w:divBdr>
    </w:div>
    <w:div w:id="20583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8C1A-F2CE-41A1-AB8E-36AE9CB4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1004</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2012/13 Performance Report</vt:lpstr>
    </vt:vector>
  </TitlesOfParts>
  <Company>Local Government Group</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Performance Report</dc:title>
  <dc:subject/>
  <dc:creator>helenp</dc:creator>
  <cp:keywords/>
  <dc:description/>
  <cp:lastModifiedBy>Donna Gallagher</cp:lastModifiedBy>
  <cp:revision>8</cp:revision>
  <cp:lastPrinted>2013-10-10T10:55:00Z</cp:lastPrinted>
  <dcterms:created xsi:type="dcterms:W3CDTF">2015-01-12T12:57:00Z</dcterms:created>
  <dcterms:modified xsi:type="dcterms:W3CDTF">2015-01-14T10:42:00Z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cathyb</vt:lpwstr>
  </op:property>
  <op:property fmtid="{D5CDD505-2E9C-101B-9397-08002B2CF9AE}" pid="5" name="DC.creator">
    <vt:lpwstr>GSS1\CathyB</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2012-07-05T00:00:00Z</vt:lpwstr>
  </op:property>
  <op:property fmtid="{D5CDD505-2E9C-101B-9397-08002B2CF9AE}" pid="10" name="e-GMS.subject.keyword">
    <vt:lpwstr>LGA Office Holders</vt:lpwstr>
  </op:property>
  <op:property fmtid="{D5CDD505-2E9C-101B-9397-08002B2CF9AE}" pid="11" name="Date">
    <vt:lpwstr>2012-07-05T00:00:00Z</vt:lpwstr>
  </op:property>
  <op:property fmtid="{D5CDD505-2E9C-101B-9397-08002B2CF9AE}" pid="12" name="Title">
    <vt:lpwstr>3rd Qtr Perf Report - Leadership Board cover 2</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